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B8AF" w14:textId="37B14DA6" w:rsidR="00D16B09" w:rsidRPr="00D16B09" w:rsidRDefault="00D16B09" w:rsidP="00D16B09">
      <w:pPr>
        <w:pStyle w:val="Date1"/>
        <w:jc w:val="center"/>
        <w:rPr>
          <w:b/>
          <w:sz w:val="28"/>
          <w:szCs w:val="28"/>
        </w:rPr>
      </w:pPr>
      <w:r w:rsidRPr="00D16B09">
        <w:rPr>
          <w:b/>
          <w:sz w:val="28"/>
          <w:szCs w:val="28"/>
        </w:rPr>
        <w:t>Déclaration FO Energie au CCE EDF SA</w:t>
      </w:r>
    </w:p>
    <w:p w14:paraId="570F0230" w14:textId="75D3DDB3" w:rsidR="00D16B09" w:rsidRDefault="00D16B09" w:rsidP="009F3503">
      <w:pPr>
        <w:pStyle w:val="Date1"/>
      </w:pPr>
    </w:p>
    <w:p w14:paraId="1FEB6DA6" w14:textId="77777777" w:rsidR="00D16B09" w:rsidRDefault="00D16B09" w:rsidP="009F3503">
      <w:pPr>
        <w:pStyle w:val="Date1"/>
        <w:rPr>
          <w:b/>
        </w:rPr>
      </w:pPr>
    </w:p>
    <w:p w14:paraId="5BED1C4E" w14:textId="1DDC1A58" w:rsidR="00D16B09" w:rsidRPr="00D16B09" w:rsidRDefault="00D16B09" w:rsidP="009F3503">
      <w:pPr>
        <w:pStyle w:val="Date1"/>
        <w:rPr>
          <w:b/>
        </w:rPr>
      </w:pPr>
      <w:r w:rsidRPr="00D16B09">
        <w:rPr>
          <w:b/>
        </w:rPr>
        <w:t xml:space="preserve">Point 1 : </w:t>
      </w:r>
      <w:r w:rsidRPr="00D16B09">
        <w:rPr>
          <w:b/>
        </w:rPr>
        <w:t>Orientations Stratégiques EDF SA 2019-2021 et leurs conséquences sur l’activité, l’emploi, la gestion des compétences et la formation.</w:t>
      </w:r>
    </w:p>
    <w:p w14:paraId="3D1421AA" w14:textId="77777777" w:rsidR="00D16B09" w:rsidRDefault="00D16B09" w:rsidP="009F3503">
      <w:pPr>
        <w:pStyle w:val="Date1"/>
      </w:pPr>
    </w:p>
    <w:p w14:paraId="18A98DF7" w14:textId="77777777" w:rsidR="00D16B09" w:rsidRDefault="00D16B09" w:rsidP="009F3503">
      <w:pPr>
        <w:pStyle w:val="Date1"/>
      </w:pPr>
    </w:p>
    <w:p w14:paraId="1A08789E" w14:textId="77777777" w:rsidR="00D16B09" w:rsidRDefault="00D16B09" w:rsidP="009F3503">
      <w:pPr>
        <w:pStyle w:val="Date1"/>
      </w:pPr>
    </w:p>
    <w:p w14:paraId="2414513E" w14:textId="3BB7ECE9" w:rsidR="00673D14" w:rsidRDefault="00B33A31" w:rsidP="009F3503">
      <w:pPr>
        <w:pStyle w:val="Date1"/>
      </w:pPr>
      <w:r w:rsidRPr="0074535F">
        <w:t>Monsieur le Président, Mesdames, Messieurs,</w:t>
      </w:r>
    </w:p>
    <w:p w14:paraId="0F49ADDB" w14:textId="77777777" w:rsidR="00D16B09" w:rsidRPr="0074535F" w:rsidRDefault="00D16B09" w:rsidP="009F3503">
      <w:pPr>
        <w:pStyle w:val="Date1"/>
        <w:rPr>
          <w:rFonts w:cs="Arial"/>
        </w:rPr>
      </w:pPr>
    </w:p>
    <w:p w14:paraId="3A7D75B7" w14:textId="77777777" w:rsidR="00480EB0" w:rsidRPr="0074535F" w:rsidRDefault="00480EB0" w:rsidP="009F3503">
      <w:pPr>
        <w:pStyle w:val="Date1"/>
      </w:pPr>
      <w:r w:rsidRPr="0074535F">
        <w:t>Les orientations stratégiques que vous nous livrez paraissent</w:t>
      </w:r>
      <w:r w:rsidR="00160AA7" w:rsidRPr="0074535F">
        <w:t xml:space="preserve"> porter de nombreuses ambitions et donc des promesses de développement tant économiques que sociales</w:t>
      </w:r>
      <w:r w:rsidR="00CD59C2" w:rsidRPr="0074535F">
        <w:t xml:space="preserve"> pour EDF SA</w:t>
      </w:r>
      <w:r w:rsidR="00160AA7" w:rsidRPr="0074535F">
        <w:t xml:space="preserve">. </w:t>
      </w:r>
      <w:r w:rsidR="00CD59C2" w:rsidRPr="0074535F">
        <w:t>Pourtant</w:t>
      </w:r>
      <w:r w:rsidR="00D97E74" w:rsidRPr="0074535F">
        <w:t>,</w:t>
      </w:r>
      <w:r w:rsidR="00CD59C2" w:rsidRPr="0074535F">
        <w:t xml:space="preserve"> en « grattant » un peu</w:t>
      </w:r>
      <w:r w:rsidR="003F7DAD">
        <w:t>,</w:t>
      </w:r>
      <w:r w:rsidR="00A406A7" w:rsidRPr="0074535F">
        <w:t xml:space="preserve"> et à la lumière d’autres données et débats</w:t>
      </w:r>
      <w:r w:rsidR="00D97E74" w:rsidRPr="0074535F">
        <w:t>,</w:t>
      </w:r>
      <w:r w:rsidR="00A406A7" w:rsidRPr="0074535F">
        <w:t xml:space="preserve"> ces promesses pourrai</w:t>
      </w:r>
      <w:r w:rsidR="00CD59C2" w:rsidRPr="0074535F">
        <w:t xml:space="preserve">ent </w:t>
      </w:r>
      <w:r w:rsidR="00D97E74" w:rsidRPr="0074535F">
        <w:t xml:space="preserve">se révéler parfois </w:t>
      </w:r>
      <w:r w:rsidR="00686E79" w:rsidRPr="0074535F">
        <w:t>aussi limitées qu’aléatoires dans leur portée réelle.</w:t>
      </w:r>
    </w:p>
    <w:p w14:paraId="7A19BE2D" w14:textId="77777777" w:rsidR="00A406A7" w:rsidRPr="0074535F" w:rsidRDefault="00686E79" w:rsidP="009F3503">
      <w:pPr>
        <w:pStyle w:val="Date1"/>
      </w:pPr>
      <w:r w:rsidRPr="0074535F">
        <w:t>Au final, n’aurions-nous pas encore</w:t>
      </w:r>
      <w:r w:rsidR="00A406A7" w:rsidRPr="0074535F">
        <w:t xml:space="preserve"> devant nous</w:t>
      </w:r>
      <w:r w:rsidR="00D97E74" w:rsidRPr="0074535F">
        <w:t>,</w:t>
      </w:r>
      <w:r w:rsidR="00A406A7" w:rsidRPr="0074535F">
        <w:t xml:space="preserve"> sur certains points</w:t>
      </w:r>
      <w:r w:rsidR="00D97E74" w:rsidRPr="0074535F">
        <w:t>,</w:t>
      </w:r>
      <w:r w:rsidRPr="0074535F">
        <w:t xml:space="preserve"> un message du type : </w:t>
      </w:r>
      <w:r w:rsidR="00A406A7" w:rsidRPr="0074535F">
        <w:t>« </w:t>
      </w:r>
      <w:r w:rsidR="004F01C4" w:rsidRPr="0074535F">
        <w:t>salariés,</w:t>
      </w:r>
      <w:r w:rsidR="003365DC">
        <w:t xml:space="preserve"> syndicats, dormez tranquilles</w:t>
      </w:r>
      <w:r w:rsidR="004F01C4" w:rsidRPr="0074535F">
        <w:t xml:space="preserve">, tout va bien </w:t>
      </w:r>
      <w:r w:rsidR="00D97E74" w:rsidRPr="0074535F">
        <w:t>et tout se déroule comme prévu</w:t>
      </w:r>
      <w:r w:rsidR="00A406A7" w:rsidRPr="0074535F">
        <w:t> » ?</w:t>
      </w:r>
      <w:r w:rsidR="004F01C4" w:rsidRPr="0074535F">
        <w:t>.</w:t>
      </w:r>
      <w:r w:rsidR="00D350D6" w:rsidRPr="0074535F">
        <w:t xml:space="preserve"> </w:t>
      </w:r>
      <w:r w:rsidR="003365DC">
        <w:t>Posons-nous alors la question : mais qu’est-ce qui se déroule comme prévu ?</w:t>
      </w:r>
    </w:p>
    <w:p w14:paraId="48A1B63D" w14:textId="77777777" w:rsidR="007671AF" w:rsidRPr="0074535F" w:rsidRDefault="00D97E74" w:rsidP="009F3503">
      <w:pPr>
        <w:pStyle w:val="Date1"/>
      </w:pPr>
      <w:r w:rsidRPr="0074535F">
        <w:t xml:space="preserve">Car </w:t>
      </w:r>
      <w:r w:rsidR="002D71D8" w:rsidRPr="0074535F">
        <w:t>r</w:t>
      </w:r>
      <w:r w:rsidR="00D350D6" w:rsidRPr="0074535F">
        <w:t>appelons</w:t>
      </w:r>
      <w:r w:rsidR="00A406A7" w:rsidRPr="0074535F">
        <w:t>-nous</w:t>
      </w:r>
      <w:r w:rsidR="00D350D6" w:rsidRPr="0074535F">
        <w:t xml:space="preserve"> bien l’objet de cette consultation : </w:t>
      </w:r>
      <w:r w:rsidR="00D350D6" w:rsidRPr="003365DC">
        <w:t>« L'avis du CCE est sollicit</w:t>
      </w:r>
      <w:r w:rsidR="00D350D6" w:rsidRPr="003365DC">
        <w:rPr>
          <w:rFonts w:hint="eastAsia"/>
        </w:rPr>
        <w:t>é</w:t>
      </w:r>
      <w:r w:rsidR="00D350D6" w:rsidRPr="003365DC">
        <w:t xml:space="preserve"> sur les orientations strat</w:t>
      </w:r>
      <w:r w:rsidR="00D350D6" w:rsidRPr="003365DC">
        <w:rPr>
          <w:rFonts w:hint="eastAsia"/>
        </w:rPr>
        <w:t>é</w:t>
      </w:r>
      <w:r w:rsidR="00D350D6" w:rsidRPr="003365DC">
        <w:t>giques d</w:t>
      </w:r>
      <w:r w:rsidR="00D350D6" w:rsidRPr="003365DC">
        <w:rPr>
          <w:rFonts w:hint="eastAsia"/>
        </w:rPr>
        <w:t>’</w:t>
      </w:r>
      <w:r w:rsidR="00D350D6" w:rsidRPr="003365DC">
        <w:t xml:space="preserve">EDF et </w:t>
      </w:r>
      <w:r w:rsidR="00D350D6" w:rsidRPr="003365DC">
        <w:rPr>
          <w:b/>
        </w:rPr>
        <w:t>leurs cons</w:t>
      </w:r>
      <w:r w:rsidR="00D350D6" w:rsidRPr="003365DC">
        <w:rPr>
          <w:rFonts w:hint="eastAsia"/>
          <w:b/>
        </w:rPr>
        <w:t>é</w:t>
      </w:r>
      <w:r w:rsidR="00D350D6" w:rsidRPr="003365DC">
        <w:rPr>
          <w:b/>
        </w:rPr>
        <w:t>quences sur l</w:t>
      </w:r>
      <w:r w:rsidR="00D350D6" w:rsidRPr="003365DC">
        <w:rPr>
          <w:rFonts w:hint="eastAsia"/>
          <w:b/>
        </w:rPr>
        <w:t>’</w:t>
      </w:r>
      <w:r w:rsidR="00D350D6" w:rsidRPr="003365DC">
        <w:rPr>
          <w:b/>
        </w:rPr>
        <w:t>activit</w:t>
      </w:r>
      <w:r w:rsidR="00D350D6" w:rsidRPr="003365DC">
        <w:rPr>
          <w:rFonts w:hint="eastAsia"/>
          <w:b/>
        </w:rPr>
        <w:t>é</w:t>
      </w:r>
      <w:r w:rsidR="00D350D6" w:rsidRPr="003365DC">
        <w:rPr>
          <w:b/>
        </w:rPr>
        <w:t xml:space="preserve"> d</w:t>
      </w:r>
      <w:r w:rsidR="00D350D6" w:rsidRPr="003365DC">
        <w:rPr>
          <w:rFonts w:hint="eastAsia"/>
          <w:b/>
        </w:rPr>
        <w:t>’</w:t>
      </w:r>
      <w:r w:rsidR="00D350D6" w:rsidRPr="003365DC">
        <w:rPr>
          <w:b/>
        </w:rPr>
        <w:t>EDF SA</w:t>
      </w:r>
      <w:r w:rsidR="00D350D6" w:rsidRPr="003365DC">
        <w:t xml:space="preserve">, </w:t>
      </w:r>
      <w:r w:rsidR="00D350D6" w:rsidRPr="003365DC">
        <w:rPr>
          <w:b/>
        </w:rPr>
        <w:t>l</w:t>
      </w:r>
      <w:r w:rsidR="00D350D6" w:rsidRPr="003365DC">
        <w:rPr>
          <w:rFonts w:hint="eastAsia"/>
          <w:b/>
        </w:rPr>
        <w:t>’</w:t>
      </w:r>
      <w:r w:rsidR="00D350D6" w:rsidRPr="003365DC">
        <w:rPr>
          <w:b/>
        </w:rPr>
        <w:t>emploi</w:t>
      </w:r>
      <w:r w:rsidR="00D350D6" w:rsidRPr="003365DC">
        <w:t>, l</w:t>
      </w:r>
      <w:r w:rsidR="00D350D6" w:rsidRPr="003365DC">
        <w:rPr>
          <w:rFonts w:hint="eastAsia"/>
        </w:rPr>
        <w:t>’é</w:t>
      </w:r>
      <w:r w:rsidR="00D350D6" w:rsidRPr="003365DC">
        <w:t xml:space="preserve">volution des </w:t>
      </w:r>
      <w:r w:rsidR="00D350D6" w:rsidRPr="003365DC">
        <w:rPr>
          <w:b/>
        </w:rPr>
        <w:t>m</w:t>
      </w:r>
      <w:r w:rsidR="00D350D6" w:rsidRPr="003365DC">
        <w:rPr>
          <w:rFonts w:hint="eastAsia"/>
          <w:b/>
        </w:rPr>
        <w:t>é</w:t>
      </w:r>
      <w:r w:rsidR="00D350D6" w:rsidRPr="003365DC">
        <w:rPr>
          <w:b/>
        </w:rPr>
        <w:t>tiers</w:t>
      </w:r>
      <w:r w:rsidR="00D350D6" w:rsidRPr="003365DC">
        <w:t xml:space="preserve"> et des comp</w:t>
      </w:r>
      <w:r w:rsidR="00D350D6" w:rsidRPr="003365DC">
        <w:rPr>
          <w:rFonts w:hint="eastAsia"/>
        </w:rPr>
        <w:t>é</w:t>
      </w:r>
      <w:r w:rsidR="00D350D6" w:rsidRPr="003365DC">
        <w:t xml:space="preserve">tences, </w:t>
      </w:r>
      <w:r w:rsidR="00D350D6" w:rsidRPr="003365DC">
        <w:rPr>
          <w:b/>
        </w:rPr>
        <w:t>l</w:t>
      </w:r>
      <w:r w:rsidR="00D350D6" w:rsidRPr="003365DC">
        <w:rPr>
          <w:rFonts w:hint="eastAsia"/>
          <w:b/>
        </w:rPr>
        <w:t>’</w:t>
      </w:r>
      <w:r w:rsidR="00D350D6" w:rsidRPr="003365DC">
        <w:rPr>
          <w:b/>
        </w:rPr>
        <w:t>organisation du travail</w:t>
      </w:r>
      <w:r w:rsidR="00D350D6" w:rsidRPr="003365DC">
        <w:t xml:space="preserve">, le recours </w:t>
      </w:r>
      <w:r w:rsidR="00D350D6" w:rsidRPr="003365DC">
        <w:rPr>
          <w:rFonts w:hint="eastAsia"/>
        </w:rPr>
        <w:t>à</w:t>
      </w:r>
      <w:r w:rsidR="00D350D6" w:rsidRPr="003365DC">
        <w:t xml:space="preserve"> la soustraitance, l</w:t>
      </w:r>
      <w:r w:rsidR="00D350D6" w:rsidRPr="003365DC">
        <w:rPr>
          <w:rFonts w:hint="eastAsia"/>
        </w:rPr>
        <w:t>’</w:t>
      </w:r>
      <w:r w:rsidR="00D350D6" w:rsidRPr="003365DC">
        <w:t>int</w:t>
      </w:r>
      <w:r w:rsidR="00D350D6" w:rsidRPr="003365DC">
        <w:rPr>
          <w:rFonts w:hint="eastAsia"/>
        </w:rPr>
        <w:t>é</w:t>
      </w:r>
      <w:r w:rsidR="00D350D6" w:rsidRPr="003365DC">
        <w:t xml:space="preserve">rim, </w:t>
      </w:r>
      <w:r w:rsidR="00D350D6" w:rsidRPr="003365DC">
        <w:rPr>
          <w:rFonts w:hint="eastAsia"/>
        </w:rPr>
        <w:t>à</w:t>
      </w:r>
      <w:r w:rsidR="00D350D6" w:rsidRPr="003365DC">
        <w:t xml:space="preserve"> des contrats temporaires et </w:t>
      </w:r>
      <w:r w:rsidR="00D350D6" w:rsidRPr="003365DC">
        <w:rPr>
          <w:rFonts w:hint="eastAsia"/>
        </w:rPr>
        <w:t>à</w:t>
      </w:r>
      <w:r w:rsidR="00D350D6" w:rsidRPr="003365DC">
        <w:t xml:space="preserve"> des stages, ainsi que sur la GPEC et les orientations de formation »</w:t>
      </w:r>
      <w:r w:rsidR="002D71D8" w:rsidRPr="003365DC">
        <w:t>.</w:t>
      </w:r>
    </w:p>
    <w:p w14:paraId="7ED91F98" w14:textId="77777777" w:rsidR="00E86A02" w:rsidRPr="0074535F" w:rsidRDefault="00D97E74" w:rsidP="009F3503">
      <w:pPr>
        <w:pStyle w:val="Date1"/>
      </w:pPr>
      <w:r w:rsidRPr="00134859">
        <w:rPr>
          <w:b/>
        </w:rPr>
        <w:t>En ce qui concerne la formation</w:t>
      </w:r>
      <w:r w:rsidRPr="0074535F">
        <w:t>, nous en profiterons aussi pour vous donnez notre analyse du volet opérationnel pour 2019, à travers les Eléments Natio</w:t>
      </w:r>
      <w:r w:rsidR="00A406A7" w:rsidRPr="0074535F">
        <w:t>naux du Plan de formation qui son</w:t>
      </w:r>
      <w:r w:rsidRPr="0074535F">
        <w:t>t également présenté</w:t>
      </w:r>
      <w:r w:rsidR="00A406A7" w:rsidRPr="0074535F">
        <w:t>s lors de</w:t>
      </w:r>
      <w:r w:rsidRPr="0074535F">
        <w:t xml:space="preserve"> cette séance.</w:t>
      </w:r>
    </w:p>
    <w:p w14:paraId="6A9DF776" w14:textId="77777777" w:rsidR="00134859" w:rsidRDefault="00134859" w:rsidP="009F3503">
      <w:pPr>
        <w:pStyle w:val="Date1"/>
      </w:pPr>
    </w:p>
    <w:p w14:paraId="492B63C6" w14:textId="77777777" w:rsidR="0056045C" w:rsidRPr="0074535F" w:rsidRDefault="0056045C" w:rsidP="009F3503">
      <w:pPr>
        <w:pStyle w:val="Date1"/>
      </w:pPr>
    </w:p>
    <w:p w14:paraId="209F9114" w14:textId="77777777" w:rsidR="00E86A02" w:rsidRPr="009F3503" w:rsidRDefault="00D8549F" w:rsidP="009F3503">
      <w:pPr>
        <w:pStyle w:val="Date1"/>
        <w:rPr>
          <w:b/>
        </w:rPr>
      </w:pPr>
      <w:r w:rsidRPr="009F3503">
        <w:rPr>
          <w:b/>
        </w:rPr>
        <w:t xml:space="preserve">1 - FO souligne les </w:t>
      </w:r>
      <w:r w:rsidR="00E868E0" w:rsidRPr="009F3503">
        <w:rPr>
          <w:b/>
        </w:rPr>
        <w:t xml:space="preserve">atouts d’EDF </w:t>
      </w:r>
      <w:r w:rsidR="00D24CBC" w:rsidRPr="009F3503">
        <w:rPr>
          <w:b/>
        </w:rPr>
        <w:t xml:space="preserve">: </w:t>
      </w:r>
      <w:r w:rsidRPr="009F3503">
        <w:rPr>
          <w:b/>
        </w:rPr>
        <w:t xml:space="preserve">une </w:t>
      </w:r>
      <w:r w:rsidR="00AA1D87" w:rsidRPr="009F3503">
        <w:rPr>
          <w:b/>
        </w:rPr>
        <w:t>t</w:t>
      </w:r>
      <w:r w:rsidR="00A5211B" w:rsidRPr="009F3503">
        <w:rPr>
          <w:b/>
        </w:rPr>
        <w:t>ransition énergétique</w:t>
      </w:r>
      <w:r w:rsidRPr="009F3503">
        <w:rPr>
          <w:b/>
        </w:rPr>
        <w:t xml:space="preserve"> associée à ses</w:t>
      </w:r>
      <w:r w:rsidR="00E868E0" w:rsidRPr="009F3503">
        <w:rPr>
          <w:b/>
        </w:rPr>
        <w:t xml:space="preserve"> moyens </w:t>
      </w:r>
      <w:r w:rsidR="00D24CBC" w:rsidRPr="009F3503">
        <w:rPr>
          <w:b/>
        </w:rPr>
        <w:t>industriel</w:t>
      </w:r>
      <w:r w:rsidR="00E868E0" w:rsidRPr="009F3503">
        <w:rPr>
          <w:b/>
        </w:rPr>
        <w:t xml:space="preserve">s, </w:t>
      </w:r>
      <w:r w:rsidRPr="009F3503">
        <w:rPr>
          <w:b/>
        </w:rPr>
        <w:t xml:space="preserve">ses </w:t>
      </w:r>
      <w:r w:rsidR="00D24CBC" w:rsidRPr="009F3503">
        <w:rPr>
          <w:b/>
        </w:rPr>
        <w:t>missions de s</w:t>
      </w:r>
      <w:r w:rsidR="00E868E0" w:rsidRPr="009F3503">
        <w:rPr>
          <w:b/>
        </w:rPr>
        <w:t>ervice public intégrées aux</w:t>
      </w:r>
      <w:r w:rsidR="00D24CBC" w:rsidRPr="009F3503">
        <w:rPr>
          <w:b/>
        </w:rPr>
        <w:t xml:space="preserve"> territoires</w:t>
      </w:r>
      <w:r w:rsidR="00E868E0" w:rsidRPr="009F3503">
        <w:rPr>
          <w:b/>
        </w:rPr>
        <w:t xml:space="preserve">, </w:t>
      </w:r>
      <w:r w:rsidRPr="009F3503">
        <w:rPr>
          <w:b/>
        </w:rPr>
        <w:t xml:space="preserve">son personnel fidèle et engagé grace au </w:t>
      </w:r>
      <w:r w:rsidR="00E868E0" w:rsidRPr="009F3503">
        <w:rPr>
          <w:b/>
        </w:rPr>
        <w:t xml:space="preserve">Statut et </w:t>
      </w:r>
      <w:r w:rsidRPr="009F3503">
        <w:rPr>
          <w:b/>
        </w:rPr>
        <w:t xml:space="preserve">à une </w:t>
      </w:r>
      <w:r w:rsidR="00E868E0" w:rsidRPr="009F3503">
        <w:rPr>
          <w:b/>
        </w:rPr>
        <w:t>politique social</w:t>
      </w:r>
      <w:r w:rsidRPr="009F3503">
        <w:rPr>
          <w:b/>
        </w:rPr>
        <w:t>e progressiste</w:t>
      </w:r>
      <w:r w:rsidR="008141F1" w:rsidRPr="009F3503">
        <w:rPr>
          <w:b/>
        </w:rPr>
        <w:t>.</w:t>
      </w:r>
    </w:p>
    <w:p w14:paraId="248D6031" w14:textId="77777777" w:rsidR="00FB1416" w:rsidRPr="0074535F" w:rsidRDefault="00FB1416" w:rsidP="009F3503">
      <w:pPr>
        <w:pStyle w:val="Date1"/>
      </w:pPr>
    </w:p>
    <w:p w14:paraId="5EB00CEB" w14:textId="77777777" w:rsidR="00A5211B" w:rsidRPr="0074535F" w:rsidRDefault="00A406A7" w:rsidP="009F3503">
      <w:pPr>
        <w:pStyle w:val="Date1"/>
      </w:pPr>
      <w:r w:rsidRPr="0074535F">
        <w:t>N</w:t>
      </w:r>
      <w:r w:rsidR="00A5211B" w:rsidRPr="0074535F">
        <w:t>ous</w:t>
      </w:r>
      <w:r w:rsidR="00C87EB4" w:rsidRPr="0074535F">
        <w:t xml:space="preserve"> n’</w:t>
      </w:r>
      <w:r w:rsidR="00D24CBC" w:rsidRPr="0074535F">
        <w:t xml:space="preserve">avons pas d’état d’âme sur la nécessité absolue de la transition énergétique, </w:t>
      </w:r>
      <w:r w:rsidRPr="0074535F">
        <w:t xml:space="preserve">mais </w:t>
      </w:r>
      <w:r w:rsidR="00A5211B" w:rsidRPr="0074535F">
        <w:t xml:space="preserve">nous avons </w:t>
      </w:r>
      <w:r w:rsidRPr="0074535F">
        <w:t xml:space="preserve">parfois </w:t>
      </w:r>
      <w:r w:rsidR="00A5211B" w:rsidRPr="0074535F">
        <w:t>l’im</w:t>
      </w:r>
      <w:r w:rsidRPr="0074535F">
        <w:t>pression que pour certains a</w:t>
      </w:r>
      <w:r w:rsidR="00A5211B" w:rsidRPr="0074535F">
        <w:t>s</w:t>
      </w:r>
      <w:r w:rsidRPr="0074535F">
        <w:t>pects stratégiques et vitaux pour l’entreprise</w:t>
      </w:r>
      <w:r w:rsidR="00A5211B" w:rsidRPr="0074535F">
        <w:t>, on amalgame cette transition avec d’autres objectifs pol</w:t>
      </w:r>
      <w:r w:rsidRPr="0074535F">
        <w:t xml:space="preserve">itiques </w:t>
      </w:r>
      <w:r w:rsidR="003E5177">
        <w:t xml:space="preserve">comportant </w:t>
      </w:r>
      <w:r w:rsidRPr="0074535F">
        <w:t>des biais idéologiques qui ne nous semblent</w:t>
      </w:r>
      <w:r w:rsidR="00A5211B" w:rsidRPr="0074535F">
        <w:t xml:space="preserve"> </w:t>
      </w:r>
      <w:r w:rsidRPr="0074535F">
        <w:t xml:space="preserve">pas </w:t>
      </w:r>
      <w:r w:rsidR="00A5211B" w:rsidRPr="0074535F">
        <w:t xml:space="preserve">converger </w:t>
      </w:r>
      <w:r w:rsidR="00D24CBC" w:rsidRPr="0074535F">
        <w:t xml:space="preserve">forcément vers cet impératif absolu </w:t>
      </w:r>
      <w:r w:rsidR="00264222" w:rsidRPr="0074535F">
        <w:t>de</w:t>
      </w:r>
      <w:r w:rsidR="00A5211B" w:rsidRPr="0074535F">
        <w:t xml:space="preserve"> transition</w:t>
      </w:r>
      <w:r w:rsidR="0074535F" w:rsidRPr="0074535F">
        <w:t>,</w:t>
      </w:r>
      <w:r w:rsidR="001F1FAD">
        <w:t xml:space="preserve"> ni vers un </w:t>
      </w:r>
      <w:r w:rsidRPr="0074535F">
        <w:t>progrès social partagé</w:t>
      </w:r>
      <w:r w:rsidR="00A5211B" w:rsidRPr="0074535F">
        <w:t>.</w:t>
      </w:r>
    </w:p>
    <w:p w14:paraId="22EC7A66" w14:textId="77777777" w:rsidR="00264222" w:rsidRPr="0074535F" w:rsidRDefault="00264222" w:rsidP="009F3503">
      <w:pPr>
        <w:pStyle w:val="Date1"/>
      </w:pPr>
    </w:p>
    <w:p w14:paraId="65206B87" w14:textId="77777777" w:rsidR="00A5211B" w:rsidRDefault="00A5211B" w:rsidP="009F3503">
      <w:pPr>
        <w:pStyle w:val="Date1"/>
      </w:pPr>
      <w:r w:rsidRPr="0074535F">
        <w:t xml:space="preserve">Ainsi, vous développez </w:t>
      </w:r>
      <w:r w:rsidR="00A406A7" w:rsidRPr="0074535F">
        <w:t>dans ces orientations</w:t>
      </w:r>
      <w:r w:rsidR="003E5177">
        <w:t>,</w:t>
      </w:r>
      <w:r w:rsidR="00A406A7" w:rsidRPr="0074535F">
        <w:t xml:space="preserve"> </w:t>
      </w:r>
      <w:r w:rsidR="003E5177">
        <w:t>et avec</w:t>
      </w:r>
      <w:r w:rsidRPr="0074535F">
        <w:t xml:space="preserve"> pertinence</w:t>
      </w:r>
      <w:r w:rsidR="003E5177">
        <w:t>,</w:t>
      </w:r>
      <w:r w:rsidRPr="0074535F">
        <w:t xml:space="preserve"> les axes </w:t>
      </w:r>
      <w:r w:rsidR="00D24CBC" w:rsidRPr="0074535F">
        <w:t xml:space="preserve">forts </w:t>
      </w:r>
      <w:r w:rsidRPr="0074535F">
        <w:t xml:space="preserve">suivants : </w:t>
      </w:r>
    </w:p>
    <w:p w14:paraId="27C9F708" w14:textId="77777777" w:rsidR="00B62F4E" w:rsidRPr="0074535F" w:rsidRDefault="00B62F4E" w:rsidP="009F3503">
      <w:pPr>
        <w:pStyle w:val="Date1"/>
      </w:pPr>
    </w:p>
    <w:p w14:paraId="0A16B158" w14:textId="77777777" w:rsidR="00D24CBC" w:rsidRPr="0074535F" w:rsidRDefault="00D24CBC" w:rsidP="009F3503">
      <w:pPr>
        <w:pStyle w:val="Date1"/>
      </w:pPr>
      <w:r w:rsidRPr="0074535F">
        <w:lastRenderedPageBreak/>
        <w:t>« </w:t>
      </w:r>
      <w:r w:rsidR="003E5177">
        <w:t>L</w:t>
      </w:r>
      <w:r w:rsidR="00A5211B" w:rsidRPr="0074535F">
        <w:t xml:space="preserve">’avantage </w:t>
      </w:r>
      <w:r w:rsidR="00A5211B" w:rsidRPr="0074535F">
        <w:rPr>
          <w:b/>
        </w:rPr>
        <w:t>compétitif du parc nucléaire</w:t>
      </w:r>
      <w:r w:rsidR="00A5211B" w:rsidRPr="0074535F">
        <w:t xml:space="preserve"> existant, le leadership dans </w:t>
      </w:r>
      <w:r w:rsidR="00A5211B" w:rsidRPr="0074535F">
        <w:rPr>
          <w:b/>
        </w:rPr>
        <w:t>l’hydraulique</w:t>
      </w:r>
      <w:r w:rsidR="00A5211B" w:rsidRPr="0074535F">
        <w:t xml:space="preserve"> et dans le</w:t>
      </w:r>
      <w:r w:rsidRPr="0074535F">
        <w:t xml:space="preserve"> </w:t>
      </w:r>
      <w:r w:rsidR="00A5211B" w:rsidRPr="0074535F">
        <w:t xml:space="preserve">développement des </w:t>
      </w:r>
      <w:r w:rsidR="00A5211B" w:rsidRPr="0074535F">
        <w:rPr>
          <w:b/>
        </w:rPr>
        <w:t>autres énergies renouvelables</w:t>
      </w:r>
      <w:r w:rsidR="00A5211B" w:rsidRPr="0074535F">
        <w:t xml:space="preserve"> (éolien, solaire), les investissements dans des</w:t>
      </w:r>
      <w:r w:rsidRPr="0074535F">
        <w:t xml:space="preserve"> </w:t>
      </w:r>
      <w:r w:rsidR="00A5211B" w:rsidRPr="0074535F">
        <w:rPr>
          <w:b/>
        </w:rPr>
        <w:t>technologies innovantes</w:t>
      </w:r>
      <w:r w:rsidR="00A5211B" w:rsidRPr="0074535F">
        <w:t>, par exemple dans le domaine du stockage</w:t>
      </w:r>
      <w:r w:rsidR="00131E64" w:rsidRPr="0074535F">
        <w:t xml:space="preserve"> </w:t>
      </w:r>
      <w:r w:rsidRPr="0074535F">
        <w:t>…</w:t>
      </w:r>
      <w:r w:rsidR="00A5211B" w:rsidRPr="0074535F">
        <w:t xml:space="preserve">le </w:t>
      </w:r>
      <w:r w:rsidR="00A5211B" w:rsidRPr="0074535F">
        <w:rPr>
          <w:b/>
        </w:rPr>
        <w:t>portefeuille clients</w:t>
      </w:r>
      <w:r w:rsidR="00A5211B" w:rsidRPr="0074535F">
        <w:t xml:space="preserve"> et </w:t>
      </w:r>
      <w:r w:rsidR="00A5211B" w:rsidRPr="0074535F">
        <w:rPr>
          <w:b/>
        </w:rPr>
        <w:t>l’ancrage territorial</w:t>
      </w:r>
      <w:r w:rsidR="00A5211B" w:rsidRPr="0074535F">
        <w:t xml:space="preserve"> sont des atouts précieux</w:t>
      </w:r>
      <w:r w:rsidR="00131E64">
        <w:t>..</w:t>
      </w:r>
      <w:r w:rsidR="00A5211B" w:rsidRPr="0074535F">
        <w:t xml:space="preserve">.Cette complémentarité des métiers illustre la pertinence du </w:t>
      </w:r>
      <w:r w:rsidR="00A5211B" w:rsidRPr="0074535F">
        <w:rPr>
          <w:b/>
        </w:rPr>
        <w:t>modèle intégré du groupe EDF</w:t>
      </w:r>
      <w:r w:rsidRPr="0074535F">
        <w:t xml:space="preserve">…EDF assure depuis sa création des </w:t>
      </w:r>
      <w:r w:rsidRPr="0074535F">
        <w:rPr>
          <w:b/>
        </w:rPr>
        <w:t>missions de service public et d’intérêt général</w:t>
      </w:r>
      <w:r w:rsidRPr="0074535F">
        <w:t xml:space="preserve"> qui le conduisent,</w:t>
      </w:r>
      <w:r w:rsidR="00131E64">
        <w:t>…</w:t>
      </w:r>
      <w:r w:rsidRPr="0074535F">
        <w:t xml:space="preserve">, à intégrer dans ses décisions stratégiques les </w:t>
      </w:r>
      <w:r w:rsidRPr="0074535F">
        <w:rPr>
          <w:b/>
        </w:rPr>
        <w:t>dimensions industrielles, sociales et territoriales dans la durée en complément de la performance économique</w:t>
      </w:r>
      <w:r w:rsidRPr="0074535F">
        <w:t>. »</w:t>
      </w:r>
    </w:p>
    <w:p w14:paraId="239E42BB" w14:textId="77777777" w:rsidR="005B7B08" w:rsidRPr="0074535F" w:rsidRDefault="005B7B08" w:rsidP="009F3503">
      <w:pPr>
        <w:pStyle w:val="Date1"/>
      </w:pPr>
    </w:p>
    <w:p w14:paraId="0972B789" w14:textId="77777777" w:rsidR="003E5177" w:rsidRDefault="00AA1D87" w:rsidP="009F3503">
      <w:pPr>
        <w:pStyle w:val="Date1"/>
      </w:pPr>
      <w:r w:rsidRPr="0074535F">
        <w:t>V</w:t>
      </w:r>
      <w:r w:rsidR="003E5177">
        <w:t xml:space="preserve">oilà un bien beau tableau </w:t>
      </w:r>
      <w:r w:rsidR="005B7B08" w:rsidRPr="0074535F">
        <w:t xml:space="preserve">des missions et activités </w:t>
      </w:r>
      <w:r w:rsidR="003E5177">
        <w:t>d’un</w:t>
      </w:r>
      <w:r w:rsidRPr="0074535F">
        <w:t xml:space="preserve"> Groupe</w:t>
      </w:r>
      <w:r w:rsidR="003E5177">
        <w:t xml:space="preserve"> solide et dont toutes les composantes</w:t>
      </w:r>
      <w:r w:rsidR="003F7DAD">
        <w:t>, hautement capitalistiques,</w:t>
      </w:r>
      <w:r w:rsidR="003E5177">
        <w:t xml:space="preserve"> sont intégré</w:t>
      </w:r>
      <w:r w:rsidR="001F1FAD">
        <w:t>e</w:t>
      </w:r>
      <w:r w:rsidR="003E5177">
        <w:t>s dans la chaîne des valeurs</w:t>
      </w:r>
      <w:r w:rsidR="003F7DAD">
        <w:t>,</w:t>
      </w:r>
      <w:r w:rsidR="003E5177">
        <w:t xml:space="preserve"> de l’amont à l’aval. M</w:t>
      </w:r>
      <w:r w:rsidRPr="0074535F">
        <w:t xml:space="preserve">ais </w:t>
      </w:r>
      <w:r w:rsidR="003E5177">
        <w:t>ne s’agirait-il pas en réalité que d’un mirage que la réalité et l’actualité contredirai</w:t>
      </w:r>
      <w:r w:rsidR="006618DC">
        <w:t>en</w:t>
      </w:r>
      <w:r w:rsidR="003F7DAD">
        <w:t>t à</w:t>
      </w:r>
      <w:r w:rsidR="003E5177">
        <w:t xml:space="preserve"> chaque </w:t>
      </w:r>
      <w:r w:rsidR="003F7DAD">
        <w:t>réforme</w:t>
      </w:r>
      <w:r w:rsidR="003E5177">
        <w:t xml:space="preserve"> passant ?</w:t>
      </w:r>
      <w:r w:rsidR="00F13907">
        <w:t xml:space="preserve"> Car avons-nous les moyens de nos ambitions…affichées ?</w:t>
      </w:r>
    </w:p>
    <w:p w14:paraId="10F7ADB5" w14:textId="77777777" w:rsidR="00A5211B" w:rsidRPr="0074535F" w:rsidRDefault="003E5177" w:rsidP="009F3503">
      <w:pPr>
        <w:pStyle w:val="Date1"/>
      </w:pPr>
      <w:r>
        <w:t>A</w:t>
      </w:r>
      <w:r w:rsidR="00AA1D87" w:rsidRPr="0074535F">
        <w:t>ppro</w:t>
      </w:r>
      <w:r w:rsidR="005B7B08" w:rsidRPr="0074535F">
        <w:t>fondissons</w:t>
      </w:r>
      <w:r>
        <w:t xml:space="preserve"> donc</w:t>
      </w:r>
      <w:r w:rsidR="006618DC">
        <w:t xml:space="preserve"> les éléments de cette chaîne </w:t>
      </w:r>
      <w:r w:rsidR="00131E64">
        <w:t xml:space="preserve">en les déclinant dans </w:t>
      </w:r>
      <w:r w:rsidR="00F13907">
        <w:t xml:space="preserve">la maison mère EDF SA : </w:t>
      </w:r>
    </w:p>
    <w:p w14:paraId="08CFAF4E" w14:textId="77777777" w:rsidR="0074535F" w:rsidRPr="0074535F" w:rsidRDefault="0074535F" w:rsidP="009F3503">
      <w:pPr>
        <w:pStyle w:val="Date1"/>
      </w:pPr>
    </w:p>
    <w:p w14:paraId="2284FFCE" w14:textId="77777777" w:rsidR="00AA1D87" w:rsidRPr="005F0DF5" w:rsidRDefault="0093242F" w:rsidP="009F3503">
      <w:pPr>
        <w:pStyle w:val="Date1"/>
        <w:rPr>
          <w:b/>
        </w:rPr>
      </w:pPr>
      <w:r w:rsidRPr="005F0DF5">
        <w:rPr>
          <w:b/>
        </w:rPr>
        <w:t xml:space="preserve"> </w:t>
      </w:r>
      <w:r w:rsidR="005B7B08" w:rsidRPr="005F0DF5">
        <w:rPr>
          <w:b/>
        </w:rPr>
        <w:t>-</w:t>
      </w:r>
      <w:r w:rsidR="00131E64" w:rsidRPr="005F0DF5">
        <w:rPr>
          <w:b/>
        </w:rPr>
        <w:t xml:space="preserve"> </w:t>
      </w:r>
      <w:r w:rsidR="006618DC" w:rsidRPr="005F0DF5">
        <w:rPr>
          <w:b/>
        </w:rPr>
        <w:t xml:space="preserve">Un </w:t>
      </w:r>
      <w:r w:rsidR="00666DE0" w:rsidRPr="005F0DF5">
        <w:rPr>
          <w:b/>
        </w:rPr>
        <w:t xml:space="preserve">équilibre </w:t>
      </w:r>
      <w:r w:rsidR="004C4DE6" w:rsidRPr="005F0DF5">
        <w:rPr>
          <w:b/>
        </w:rPr>
        <w:t xml:space="preserve">amont remis en cause, </w:t>
      </w:r>
      <w:r w:rsidR="006618DC" w:rsidRPr="005F0DF5">
        <w:rPr>
          <w:b/>
        </w:rPr>
        <w:t>déstabilisé</w:t>
      </w:r>
      <w:r w:rsidR="004C4DE6" w:rsidRPr="005F0DF5">
        <w:rPr>
          <w:b/>
        </w:rPr>
        <w:t xml:space="preserve"> et fragilisé</w:t>
      </w:r>
      <w:r w:rsidR="006618DC" w:rsidRPr="005F0DF5">
        <w:rPr>
          <w:b/>
        </w:rPr>
        <w:t> : du</w:t>
      </w:r>
      <w:r w:rsidR="005B7B08" w:rsidRPr="005F0DF5">
        <w:rPr>
          <w:b/>
        </w:rPr>
        <w:t xml:space="preserve"> parc nucléaire </w:t>
      </w:r>
      <w:r w:rsidR="006618DC" w:rsidRPr="005F0DF5">
        <w:rPr>
          <w:b/>
        </w:rPr>
        <w:t>à l’hydraulique</w:t>
      </w:r>
      <w:r w:rsidR="00473437" w:rsidRPr="005F0DF5">
        <w:rPr>
          <w:b/>
        </w:rPr>
        <w:t xml:space="preserve"> et le ther</w:t>
      </w:r>
      <w:r w:rsidR="003F7DAD" w:rsidRPr="005F0DF5">
        <w:rPr>
          <w:b/>
        </w:rPr>
        <w:t>mique à flamme, en passant par l</w:t>
      </w:r>
      <w:r w:rsidR="00473437" w:rsidRPr="005F0DF5">
        <w:rPr>
          <w:b/>
        </w:rPr>
        <w:t>es énergies renouvel</w:t>
      </w:r>
      <w:r w:rsidR="003F7DAD" w:rsidRPr="005F0DF5">
        <w:rPr>
          <w:b/>
        </w:rPr>
        <w:t>ables et l</w:t>
      </w:r>
      <w:r w:rsidR="00473437" w:rsidRPr="005F0DF5">
        <w:rPr>
          <w:b/>
        </w:rPr>
        <w:t>es nouvelles technologies gérées bien souvent en « off-shore » d’EDF SA</w:t>
      </w:r>
    </w:p>
    <w:p w14:paraId="63564BB7" w14:textId="77777777" w:rsidR="00FB1416" w:rsidRPr="0074535F" w:rsidRDefault="00FB1416" w:rsidP="009F3503">
      <w:pPr>
        <w:pStyle w:val="Date1"/>
      </w:pPr>
    </w:p>
    <w:p w14:paraId="00A38912" w14:textId="1CF03BD6" w:rsidR="000F3CBE" w:rsidRDefault="00666DE0" w:rsidP="009F3503">
      <w:pPr>
        <w:pStyle w:val="Date1"/>
      </w:pPr>
      <w:r>
        <w:t>La fermeture « symbole politique » de Fessenheim en dehors d’une réelle programmation d’ensemble du parc nucléaire n</w:t>
      </w:r>
      <w:r w:rsidR="005F0DF5">
        <w:t>e</w:t>
      </w:r>
      <w:r>
        <w:t xml:space="preserve"> donne</w:t>
      </w:r>
      <w:r w:rsidR="00FB1416">
        <w:t xml:space="preserve"> pas</w:t>
      </w:r>
      <w:r>
        <w:t xml:space="preserve"> un signe fort </w:t>
      </w:r>
      <w:r w:rsidR="000F3CBE">
        <w:t xml:space="preserve">sur </w:t>
      </w:r>
      <w:r>
        <w:t xml:space="preserve">l’importance stratégique et économique que doit représenter </w:t>
      </w:r>
      <w:r w:rsidR="000F3CBE">
        <w:t xml:space="preserve">la gestion de </w:t>
      </w:r>
      <w:r>
        <w:t>cette catégorie d’investissement industriel</w:t>
      </w:r>
      <w:r w:rsidR="000F3CBE">
        <w:t xml:space="preserve"> sur le long terme</w:t>
      </w:r>
      <w:r w:rsidR="00921DB2">
        <w:t xml:space="preserve"> et son importance capitale tant pour </w:t>
      </w:r>
      <w:r w:rsidR="00FB1416">
        <w:t xml:space="preserve">la sécurisation de </w:t>
      </w:r>
      <w:r w:rsidR="00921DB2">
        <w:t>l’alimentation électrique de la France et de l’Europe que pour la transition énergétique</w:t>
      </w:r>
      <w:r w:rsidR="00250767">
        <w:t>.</w:t>
      </w:r>
    </w:p>
    <w:p w14:paraId="1CCE25FF" w14:textId="77777777" w:rsidR="000B55DF" w:rsidRDefault="000B55DF" w:rsidP="009F3503">
      <w:pPr>
        <w:pStyle w:val="Date1"/>
      </w:pPr>
    </w:p>
    <w:p w14:paraId="2B9472CB" w14:textId="0FD9EE0E" w:rsidR="00666C66" w:rsidRDefault="00832B3D" w:rsidP="009F3503">
      <w:pPr>
        <w:pStyle w:val="Date1"/>
      </w:pPr>
      <w:r>
        <w:t>Côté ingénierie, le mauvais destin est-il conjuré</w:t>
      </w:r>
      <w:r w:rsidR="00FB1416">
        <w:t xml:space="preserve"> </w:t>
      </w:r>
      <w:r w:rsidR="0019747A" w:rsidRPr="0019747A">
        <w:t xml:space="preserve">? Le 14 décembre, a été annoncée la mise en service à Taishan du 1er réacteur EPR, lancé en 2009, deux ans après Flamanville 3. </w:t>
      </w:r>
      <w:r>
        <w:t>H</w:t>
      </w:r>
      <w:r w:rsidR="0019747A" w:rsidRPr="0019747A">
        <w:t xml:space="preserve">eureuse nouvelle pour l'ingénierie et la gestion de projet </w:t>
      </w:r>
      <w:r w:rsidR="00597023">
        <w:t xml:space="preserve">d’EDF et côté </w:t>
      </w:r>
      <w:r w:rsidR="0019747A" w:rsidRPr="0019747A">
        <w:t xml:space="preserve">chinois, </w:t>
      </w:r>
      <w:r>
        <w:t>mais qui implique</w:t>
      </w:r>
      <w:r w:rsidR="0019747A" w:rsidRPr="0019747A">
        <w:t xml:space="preserve"> les capacités de construction de la Chine, nourries par une chaîne ininterrompue de projets industriels</w:t>
      </w:r>
      <w:r>
        <w:t xml:space="preserve">, </w:t>
      </w:r>
      <w:r w:rsidR="0019747A" w:rsidRPr="0019747A">
        <w:t>conditions qui o</w:t>
      </w:r>
      <w:r>
        <w:t xml:space="preserve">nt épargné en partie à Taishan les déboires de Flamanville. </w:t>
      </w:r>
    </w:p>
    <w:p w14:paraId="79049BD7" w14:textId="0B0B6DBE" w:rsidR="0019747A" w:rsidRDefault="00832B3D" w:rsidP="009F3503">
      <w:pPr>
        <w:pStyle w:val="Date1"/>
      </w:pPr>
      <w:r>
        <w:t>Reste une inquiétude car l’entreprise a du et doit encore mobiliser</w:t>
      </w:r>
      <w:r w:rsidR="0019747A" w:rsidRPr="0019747A">
        <w:t xml:space="preserve"> des moyens considérables pour assurer la pérenni</w:t>
      </w:r>
      <w:r>
        <w:t>té de la filière EPR.</w:t>
      </w:r>
      <w:r w:rsidR="0019747A" w:rsidRPr="0019747A">
        <w:t xml:space="preserve"> La fragilisation d'EDF sur son activité principale </w:t>
      </w:r>
      <w:r w:rsidR="001B47DF">
        <w:t>est en effet mal compensée par l</w:t>
      </w:r>
      <w:r w:rsidR="0019747A" w:rsidRPr="0019747A">
        <w:t>es économies de fonctionnement, parfois potentiellement dangereuses</w:t>
      </w:r>
      <w:r w:rsidR="001B47DF">
        <w:t>,</w:t>
      </w:r>
      <w:r w:rsidR="0019747A" w:rsidRPr="0019747A">
        <w:t xml:space="preserve"> comme celles faites sur l'exploitation et la maintenance des actifs</w:t>
      </w:r>
      <w:r w:rsidR="00666C66">
        <w:t>, ainsi que la sous-traitance généralisée qui induit immanquablement des pertes de compétences et de maîtrise du processus</w:t>
      </w:r>
      <w:r w:rsidR="00597023">
        <w:t>.</w:t>
      </w:r>
    </w:p>
    <w:p w14:paraId="40DB713E" w14:textId="77777777" w:rsidR="00B33FCE" w:rsidRDefault="00B33FCE" w:rsidP="009F3503">
      <w:pPr>
        <w:pStyle w:val="Date1"/>
      </w:pPr>
    </w:p>
    <w:p w14:paraId="3D942992" w14:textId="77777777" w:rsidR="005B7B08" w:rsidRDefault="00666DE0" w:rsidP="009F3503">
      <w:pPr>
        <w:pStyle w:val="Date1"/>
      </w:pPr>
      <w:r>
        <w:t>Le traitement réservé au thermique à flamme ne nous parait pas relever d’</w:t>
      </w:r>
      <w:r w:rsidR="000F3CBE">
        <w:t>une</w:t>
      </w:r>
      <w:r>
        <w:t xml:space="preserve"> appr</w:t>
      </w:r>
      <w:r w:rsidR="000F3CBE">
        <w:t>oche qui serait plus programmatique en ce qui concerne l’équilibre « offre-demande » d’électricité</w:t>
      </w:r>
      <w:r w:rsidR="00921DB2">
        <w:t xml:space="preserve">, pour verser </w:t>
      </w:r>
      <w:r w:rsidR="000F3CBE">
        <w:t xml:space="preserve">un peu </w:t>
      </w:r>
      <w:r w:rsidR="00921DB2">
        <w:t xml:space="preserve">trop dans le </w:t>
      </w:r>
      <w:r w:rsidR="000F3CBE">
        <w:t xml:space="preserve">symbole : « je suis le meilleur élève de la classe !» </w:t>
      </w:r>
      <w:r w:rsidR="00921DB2">
        <w:t>Mais q</w:t>
      </w:r>
      <w:r w:rsidR="000F3CBE">
        <w:t>uelle classe d’ailleurs au moment où la COP 24 vient de s’achever en semi-échec et demi-teinte dans un contexte qui promet pourtant d’être extrêmement problématique avec le dérapage des émissions de CO2.</w:t>
      </w:r>
    </w:p>
    <w:p w14:paraId="780B9BE7" w14:textId="77777777" w:rsidR="000B55DF" w:rsidRPr="0074535F" w:rsidRDefault="000B55DF" w:rsidP="009F3503">
      <w:pPr>
        <w:pStyle w:val="Date1"/>
      </w:pPr>
    </w:p>
    <w:p w14:paraId="7068F343" w14:textId="5482A4DA" w:rsidR="00D844B8" w:rsidRDefault="00921DB2" w:rsidP="009F3503">
      <w:pPr>
        <w:pStyle w:val="Date1"/>
      </w:pPr>
      <w:r>
        <w:t>L’</w:t>
      </w:r>
      <w:r w:rsidR="001F1FAD">
        <w:t>hydraulique, quant à lui, est malheureusement le</w:t>
      </w:r>
      <w:r>
        <w:t xml:space="preserve"> symbole </w:t>
      </w:r>
      <w:r w:rsidR="00D844B8">
        <w:t xml:space="preserve">et la victime </w:t>
      </w:r>
      <w:r>
        <w:t xml:space="preserve">d’une gestion purement idéologique </w:t>
      </w:r>
      <w:r w:rsidR="00D844B8">
        <w:t>et de marchants de tapis. Comment concevoir un système qui viserait à « éparpiller » ces</w:t>
      </w:r>
      <w:r>
        <w:t xml:space="preserve"> moyens de production souples et renouvelables, et ajoutons</w:t>
      </w:r>
      <w:r w:rsidR="00F25B43">
        <w:t>,</w:t>
      </w:r>
      <w:r>
        <w:t xml:space="preserve"> en grande partie amortis</w:t>
      </w:r>
      <w:r w:rsidR="00D844B8">
        <w:t> ?</w:t>
      </w:r>
    </w:p>
    <w:p w14:paraId="05494568" w14:textId="32FB34C2" w:rsidR="005B7B08" w:rsidRDefault="00921DB2" w:rsidP="009F3503">
      <w:pPr>
        <w:pStyle w:val="Date1"/>
      </w:pPr>
      <w:r>
        <w:t>V</w:t>
      </w:r>
      <w:r w:rsidR="00D844B8">
        <w:t>ise-</w:t>
      </w:r>
      <w:r>
        <w:t xml:space="preserve">t-on </w:t>
      </w:r>
      <w:r w:rsidR="00D844B8">
        <w:t xml:space="preserve">à </w:t>
      </w:r>
      <w:r>
        <w:t xml:space="preserve">développer dans la durée une concurrence réelle et structurée dans un schéma d’ensemble </w:t>
      </w:r>
      <w:r w:rsidR="00D844B8">
        <w:t xml:space="preserve">maîtrisé </w:t>
      </w:r>
      <w:r>
        <w:t>de la production d’électricité, par exemple par un système d’appel d’offre</w:t>
      </w:r>
      <w:r w:rsidR="0093222F">
        <w:t>s</w:t>
      </w:r>
      <w:r>
        <w:t xml:space="preserve"> sur de nouvelles capacités, ou veut-on </w:t>
      </w:r>
      <w:r w:rsidR="00D844B8">
        <w:t>simplement répartir plus ou moins arbitrairement (« Gagner les concessions…</w:t>
      </w:r>
      <w:r w:rsidR="00FB1416">
        <w:t xml:space="preserve"> et accepter d’en perdre</w:t>
      </w:r>
      <w:r w:rsidR="00D844B8">
        <w:t xml:space="preserve"> certaines ») </w:t>
      </w:r>
      <w:r w:rsidR="00F25B43">
        <w:t xml:space="preserve">les </w:t>
      </w:r>
      <w:r w:rsidR="00597023">
        <w:t xml:space="preserve">joyaux </w:t>
      </w:r>
      <w:r w:rsidR="00D844B8">
        <w:t>de la production hyd</w:t>
      </w:r>
      <w:r w:rsidR="00597023">
        <w:t xml:space="preserve">roélectrique française. </w:t>
      </w:r>
      <w:r w:rsidR="00D844B8">
        <w:t>FO a le net sentiment que l’on vise à « arracher »,</w:t>
      </w:r>
      <w:r w:rsidR="00F25B43">
        <w:t xml:space="preserve"> par la </w:t>
      </w:r>
      <w:r>
        <w:t>force</w:t>
      </w:r>
      <w:r w:rsidR="00F25B43">
        <w:t xml:space="preserve"> d’</w:t>
      </w:r>
      <w:r w:rsidR="007E7E59">
        <w:t>un droit</w:t>
      </w:r>
      <w:r w:rsidR="00F25B43">
        <w:t xml:space="preserve"> néo-libéral </w:t>
      </w:r>
      <w:r w:rsidR="007E7E59">
        <w:t>dogmatique</w:t>
      </w:r>
      <w:r w:rsidR="00D844B8">
        <w:t>,</w:t>
      </w:r>
      <w:r w:rsidR="007E7E59">
        <w:t xml:space="preserve"> </w:t>
      </w:r>
      <w:r w:rsidR="00F25B43">
        <w:t xml:space="preserve">des moyens </w:t>
      </w:r>
      <w:r w:rsidR="00D844B8">
        <w:t xml:space="preserve">de production </w:t>
      </w:r>
      <w:r w:rsidR="00F25B43">
        <w:t xml:space="preserve">qu’EDF SA s’est appliqué à </w:t>
      </w:r>
      <w:r w:rsidR="00D844B8">
        <w:t xml:space="preserve">concevoir, </w:t>
      </w:r>
      <w:r w:rsidR="00F25B43">
        <w:t>construire</w:t>
      </w:r>
      <w:r w:rsidR="00D844B8">
        <w:t xml:space="preserve"> et perfectionner,</w:t>
      </w:r>
      <w:r w:rsidR="00F25B43">
        <w:t xml:space="preserve"> en arguant d’une concurrence totalement artificielle </w:t>
      </w:r>
      <w:r w:rsidR="00D844B8">
        <w:t>et en oubliant peut-être un peu vite, qu’en son temps</w:t>
      </w:r>
      <w:r w:rsidR="00947BE1">
        <w:t>,</w:t>
      </w:r>
      <w:r w:rsidR="00F25B43">
        <w:t xml:space="preserve"> l’initiative privée avait été totalement défaillante.</w:t>
      </w:r>
    </w:p>
    <w:p w14:paraId="66F86831" w14:textId="77777777" w:rsidR="000B55DF" w:rsidRDefault="000B55DF" w:rsidP="009F3503">
      <w:pPr>
        <w:pStyle w:val="Date1"/>
      </w:pPr>
    </w:p>
    <w:p w14:paraId="49DD145B" w14:textId="3F76A6F8" w:rsidR="003134EA" w:rsidRDefault="00F25B43" w:rsidP="009F3503">
      <w:pPr>
        <w:pStyle w:val="Date1"/>
      </w:pPr>
      <w:r>
        <w:t xml:space="preserve">Sur la partie énergies renouvelables et nouvelles technologies, dont nous saluons les efforts et projets, nous n’avons pas encore eu une réponse rationnelle et satisfaisante au fait qu’une grande partie est gérée hors </w:t>
      </w:r>
      <w:r w:rsidR="00FA6291">
        <w:t>EDF SA et surtout hors Statut des IEG ? Le symbole d’une transition énergétique associée à du moins-disant social ne nous semble pas être la voie la plus pérenne pour la soutenir dans la durée</w:t>
      </w:r>
      <w:r w:rsidR="000B55DF">
        <w:t>,</w:t>
      </w:r>
      <w:r w:rsidR="007E7E59">
        <w:t xml:space="preserve"> si l’on en croît certains « petits évènements » récents.</w:t>
      </w:r>
    </w:p>
    <w:p w14:paraId="4162D49B" w14:textId="77777777" w:rsidR="000B55DF" w:rsidRDefault="000B55DF" w:rsidP="009F3503">
      <w:pPr>
        <w:pStyle w:val="Date1"/>
      </w:pPr>
    </w:p>
    <w:p w14:paraId="07830738" w14:textId="77777777" w:rsidR="0074535F" w:rsidRDefault="00F25B43" w:rsidP="009F3503">
      <w:pPr>
        <w:pStyle w:val="Date1"/>
      </w:pPr>
      <w:r>
        <w:t>La puissance du lobbying d’intérêt associé à une philosophie de gestion type « c’est l’occasion qui fait le laron », n</w:t>
      </w:r>
      <w:r w:rsidR="007E7E59">
        <w:t xml:space="preserve">e nous parait pas être </w:t>
      </w:r>
      <w:r>
        <w:t>de bonne augure</w:t>
      </w:r>
      <w:r w:rsidR="007E7E59">
        <w:t>,</w:t>
      </w:r>
      <w:r>
        <w:t xml:space="preserve"> tant</w:t>
      </w:r>
      <w:r w:rsidR="007E7E59">
        <w:t xml:space="preserve"> pour la gestion de</w:t>
      </w:r>
      <w:r>
        <w:t xml:space="preserve"> </w:t>
      </w:r>
      <w:r w:rsidR="007E7E59">
        <w:t>l’</w:t>
      </w:r>
      <w:r>
        <w:t>amont de la chaîne de valeur d’</w:t>
      </w:r>
      <w:r w:rsidR="007E7E59">
        <w:t>EDF que pour la dynamique de la</w:t>
      </w:r>
      <w:r>
        <w:t xml:space="preserve"> transition énergétique elle-même.</w:t>
      </w:r>
    </w:p>
    <w:p w14:paraId="48B898B4" w14:textId="77777777" w:rsidR="000B55DF" w:rsidRDefault="000B55DF" w:rsidP="009F3503">
      <w:pPr>
        <w:pStyle w:val="Date1"/>
      </w:pPr>
    </w:p>
    <w:p w14:paraId="6CC7156B" w14:textId="1639C6E7" w:rsidR="007E7E59" w:rsidRPr="0074535F" w:rsidRDefault="007E7E59" w:rsidP="009F3503">
      <w:pPr>
        <w:pStyle w:val="Date1"/>
      </w:pPr>
      <w:r>
        <w:t>FO vous demande</w:t>
      </w:r>
      <w:r w:rsidR="000B55DF">
        <w:t xml:space="preserve"> donc : quand allons-nous</w:t>
      </w:r>
      <w:r>
        <w:t xml:space="preserve"> enfin cesser de nous conformer </w:t>
      </w:r>
      <w:r w:rsidR="0079119E">
        <w:t xml:space="preserve">servilement </w:t>
      </w:r>
      <w:r>
        <w:t>à des dogmes</w:t>
      </w:r>
      <w:r w:rsidR="0093222F">
        <w:t>, quels qu’ils soient,</w:t>
      </w:r>
      <w:r>
        <w:t xml:space="preserve"> qui ont fait la preuve de leur inadaptation à notre secteur</w:t>
      </w:r>
      <w:r w:rsidR="000B55DF">
        <w:t>,</w:t>
      </w:r>
      <w:r>
        <w:t xml:space="preserve"> pour réellement assurer l’avenir é</w:t>
      </w:r>
      <w:r w:rsidR="00F05AE2">
        <w:t>nergétique de la population et des</w:t>
      </w:r>
      <w:r>
        <w:t xml:space="preserve"> entreprises</w:t>
      </w:r>
      <w:r w:rsidR="00F05AE2">
        <w:t>,</w:t>
      </w:r>
      <w:r>
        <w:t xml:space="preserve"> </w:t>
      </w:r>
      <w:r w:rsidR="000B55DF">
        <w:t xml:space="preserve">grace à un modèle qui assurera </w:t>
      </w:r>
      <w:r>
        <w:t>la viabilité d’EDF SA et d’un Groupe intégré</w:t>
      </w:r>
      <w:r w:rsidR="00A1220A">
        <w:t> ?</w:t>
      </w:r>
    </w:p>
    <w:p w14:paraId="2C8D9685" w14:textId="77777777" w:rsidR="0074535F" w:rsidRDefault="0074535F" w:rsidP="009F3503">
      <w:pPr>
        <w:pStyle w:val="Date1"/>
      </w:pPr>
    </w:p>
    <w:p w14:paraId="4ED42E7A" w14:textId="77777777" w:rsidR="007E7E59" w:rsidRPr="0074535F" w:rsidRDefault="007E7E59" w:rsidP="009F3503">
      <w:pPr>
        <w:pStyle w:val="Date1"/>
      </w:pPr>
    </w:p>
    <w:p w14:paraId="3D07E712" w14:textId="77777777" w:rsidR="00473437" w:rsidRPr="005F0DF5" w:rsidRDefault="0093242F" w:rsidP="009F3503">
      <w:pPr>
        <w:pStyle w:val="Date1"/>
        <w:rPr>
          <w:b/>
        </w:rPr>
      </w:pPr>
      <w:r w:rsidRPr="005F0DF5">
        <w:rPr>
          <w:b/>
        </w:rPr>
        <w:t xml:space="preserve"> </w:t>
      </w:r>
      <w:r w:rsidR="005B7B08" w:rsidRPr="005F0DF5">
        <w:rPr>
          <w:b/>
        </w:rPr>
        <w:t>-</w:t>
      </w:r>
      <w:r w:rsidR="00131E64" w:rsidRPr="005F0DF5">
        <w:rPr>
          <w:b/>
        </w:rPr>
        <w:t xml:space="preserve"> </w:t>
      </w:r>
      <w:r w:rsidR="00473437" w:rsidRPr="005F0DF5">
        <w:rPr>
          <w:b/>
        </w:rPr>
        <w:t>Un aval déstructuré / restructuré selon un pur modèle de « reorganizing / down</w:t>
      </w:r>
      <w:r w:rsidR="00F13907" w:rsidRPr="005F0DF5">
        <w:rPr>
          <w:b/>
        </w:rPr>
        <w:t xml:space="preserve">sizing » ou </w:t>
      </w:r>
      <w:r w:rsidR="004A68BD" w:rsidRPr="005F0DF5">
        <w:rPr>
          <w:b/>
        </w:rPr>
        <w:t xml:space="preserve">pour l’exprimé à la mode </w:t>
      </w:r>
      <w:r w:rsidR="00F13907" w:rsidRPr="005F0DF5">
        <w:rPr>
          <w:b/>
        </w:rPr>
        <w:t xml:space="preserve">Hollywood </w:t>
      </w:r>
      <w:r w:rsidR="00473437" w:rsidRPr="005F0DF5">
        <w:rPr>
          <w:b/>
        </w:rPr>
        <w:t>: « maman j’ai rétréci l’aval » !</w:t>
      </w:r>
    </w:p>
    <w:p w14:paraId="733874D4" w14:textId="77777777" w:rsidR="003134EA" w:rsidRDefault="003134EA" w:rsidP="009F3503">
      <w:pPr>
        <w:pStyle w:val="Date1"/>
      </w:pPr>
    </w:p>
    <w:p w14:paraId="57E6DA4E" w14:textId="77777777" w:rsidR="00FA6291" w:rsidRPr="00FA6291" w:rsidRDefault="00FA6291" w:rsidP="009F3503">
      <w:pPr>
        <w:pStyle w:val="Date1"/>
      </w:pPr>
      <w:r w:rsidRPr="00FA6291">
        <w:t>La stratégie est affichée</w:t>
      </w:r>
      <w:r w:rsidR="00907D9A">
        <w:t xml:space="preserve"> : </w:t>
      </w:r>
      <w:r w:rsidRPr="00FA6291">
        <w:t>proximité et satisfactions des clients, développement d’offre de marché d’EDF en France, compensation en France des pertes de parts de marché sur la fourniture d’électricité par des développements dans la fourniture de gaz et la vente de services, développement des services énergétiques. Développement et expérimentation de nouveaux services énergétiques et digitaux pour les clients, contribution à la rénovation énergétique des bâtiments etc…</w:t>
      </w:r>
    </w:p>
    <w:p w14:paraId="4E51D4C0" w14:textId="77777777" w:rsidR="00FA6291" w:rsidRPr="00FA6291" w:rsidRDefault="00FA6291" w:rsidP="009F3503">
      <w:pPr>
        <w:pStyle w:val="Date1"/>
      </w:pPr>
      <w:r w:rsidRPr="00FA6291">
        <w:t xml:space="preserve">En </w:t>
      </w:r>
      <w:r w:rsidR="00907D9A">
        <w:t>Italie,</w:t>
      </w:r>
      <w:r w:rsidRPr="00FA6291">
        <w:t xml:space="preserve"> en Belgique </w:t>
      </w:r>
      <w:r w:rsidR="00907D9A">
        <w:t xml:space="preserve">et </w:t>
      </w:r>
      <w:r w:rsidRPr="00FA6291">
        <w:t>au Royaume Unis c’est ég</w:t>
      </w:r>
      <w:r w:rsidR="00A1220A">
        <w:t>alement le branlebas de combat.</w:t>
      </w:r>
    </w:p>
    <w:p w14:paraId="345BB19A" w14:textId="77777777" w:rsidR="00FA6291" w:rsidRPr="00FA6291" w:rsidRDefault="00FA6291" w:rsidP="009F3503">
      <w:pPr>
        <w:pStyle w:val="Date1"/>
      </w:pPr>
    </w:p>
    <w:p w14:paraId="3CB93158" w14:textId="77777777" w:rsidR="00FA6291" w:rsidRPr="00FA6291" w:rsidRDefault="00FA6291" w:rsidP="009F3503">
      <w:pPr>
        <w:pStyle w:val="Date1"/>
      </w:pPr>
      <w:r w:rsidRPr="00FA6291">
        <w:t>Vous indiquez que le portefeuille clients est à la fois un atout majeur pour EDF et un maillon indispensable au succès de la transition énergétique</w:t>
      </w:r>
      <w:r w:rsidR="00A1220A">
        <w:t>. N</w:t>
      </w:r>
      <w:r w:rsidRPr="00FA6291">
        <w:t xml:space="preserve">ous y ajouterons également les </w:t>
      </w:r>
      <w:r w:rsidR="00A1220A">
        <w:t>salariés au S</w:t>
      </w:r>
      <w:r w:rsidRPr="00FA6291">
        <w:t>tatut des IEG qui</w:t>
      </w:r>
      <w:r w:rsidR="00A1220A">
        <w:t>,</w:t>
      </w:r>
      <w:r w:rsidRPr="00FA6291">
        <w:t xml:space="preserve"> depuis des décennies</w:t>
      </w:r>
      <w:r w:rsidR="00A1220A">
        <w:t>,</w:t>
      </w:r>
      <w:r w:rsidRPr="00FA6291">
        <w:t xml:space="preserve"> œuvre</w:t>
      </w:r>
      <w:r w:rsidR="00A1220A">
        <w:t>nt</w:t>
      </w:r>
      <w:r w:rsidRPr="00FA6291">
        <w:t xml:space="preserve"> aux différents succès commerciaux dans un contexte social dégradé et des conditions matériel</w:t>
      </w:r>
      <w:r w:rsidR="00A1220A">
        <w:t>le</w:t>
      </w:r>
      <w:r w:rsidRPr="00FA6291">
        <w:t>s inacceptables.</w:t>
      </w:r>
    </w:p>
    <w:p w14:paraId="27A6D2FD" w14:textId="77777777" w:rsidR="00FA6291" w:rsidRPr="00FA6291" w:rsidRDefault="00FA6291" w:rsidP="009F3503">
      <w:pPr>
        <w:pStyle w:val="Date1"/>
      </w:pPr>
    </w:p>
    <w:p w14:paraId="45F8FB77" w14:textId="77777777" w:rsidR="00A1220A" w:rsidRDefault="00A1220A" w:rsidP="009F3503">
      <w:pPr>
        <w:pStyle w:val="Date1"/>
      </w:pPr>
      <w:r>
        <w:t>Car d</w:t>
      </w:r>
      <w:r w:rsidR="00FA6291" w:rsidRPr="00FA6291">
        <w:t>errière cette stratégie</w:t>
      </w:r>
      <w:r>
        <w:t>,</w:t>
      </w:r>
      <w:r w:rsidR="00FA6291" w:rsidRPr="00FA6291">
        <w:t xml:space="preserve"> une autre prend </w:t>
      </w:r>
      <w:r>
        <w:t xml:space="preserve">concrètement </w:t>
      </w:r>
      <w:r w:rsidR="00FA6291" w:rsidRPr="00FA6291">
        <w:t>forme</w:t>
      </w:r>
      <w:r>
        <w:t> : u</w:t>
      </w:r>
      <w:r w:rsidR="00FA6291" w:rsidRPr="00FA6291">
        <w:t>ne stratégie qui profiterait de la situation pour réduire drastiquement les effectifs et les sites de travail</w:t>
      </w:r>
      <w:r w:rsidR="003C4395">
        <w:t xml:space="preserve"> (L’ancrage territorial vous savez !)</w:t>
      </w:r>
      <w:r>
        <w:t xml:space="preserve"> et </w:t>
      </w:r>
      <w:r w:rsidR="00FA6291" w:rsidRPr="00FA6291">
        <w:t xml:space="preserve">qui </w:t>
      </w:r>
      <w:r w:rsidR="00907D9A">
        <w:t>créerait un réseau</w:t>
      </w:r>
      <w:r>
        <w:t xml:space="preserve"> de</w:t>
      </w:r>
      <w:r w:rsidR="00FA6291" w:rsidRPr="00FA6291">
        <w:t xml:space="preserve"> filiales </w:t>
      </w:r>
      <w:r w:rsidR="00907D9A">
        <w:t xml:space="preserve">comme </w:t>
      </w:r>
      <w:r w:rsidR="00FA6291" w:rsidRPr="00FA6291">
        <w:t>commerciali</w:t>
      </w:r>
      <w:r w:rsidR="00907D9A">
        <w:t>sateurs de demain.</w:t>
      </w:r>
    </w:p>
    <w:p w14:paraId="7BD3EFF9" w14:textId="77777777" w:rsidR="00FA6291" w:rsidRPr="00FA6291" w:rsidRDefault="00A1220A" w:rsidP="009F3503">
      <w:pPr>
        <w:pStyle w:val="Date1"/>
      </w:pPr>
      <w:r>
        <w:t>FO ne peut que constater, d</w:t>
      </w:r>
      <w:r w:rsidR="00FA6291" w:rsidRPr="00FA6291">
        <w:t>epuis des années</w:t>
      </w:r>
      <w:r>
        <w:t>,</w:t>
      </w:r>
      <w:r w:rsidR="00FA6291" w:rsidRPr="00FA6291">
        <w:t xml:space="preserve"> </w:t>
      </w:r>
      <w:r>
        <w:t xml:space="preserve">que </w:t>
      </w:r>
      <w:r w:rsidR="00FA6291" w:rsidRPr="00FA6291">
        <w:t xml:space="preserve">c’est </w:t>
      </w:r>
      <w:r>
        <w:t xml:space="preserve">en fait </w:t>
      </w:r>
      <w:r w:rsidR="00FA6291" w:rsidRPr="00FA6291">
        <w:t>le modèle social d’EDF Commerce qui est attaqué</w:t>
      </w:r>
      <w:r>
        <w:t xml:space="preserve"> avec ses fermetures de sites</w:t>
      </w:r>
      <w:r w:rsidR="00FA6291" w:rsidRPr="00FA6291">
        <w:t xml:space="preserve">, </w:t>
      </w:r>
      <w:r>
        <w:t>l’</w:t>
      </w:r>
      <w:r w:rsidR="00FA6291" w:rsidRPr="00FA6291">
        <w:t>augme</w:t>
      </w:r>
      <w:r>
        <w:t>ntation constante du recours à des</w:t>
      </w:r>
      <w:r w:rsidR="00FA6291" w:rsidRPr="00FA6291">
        <w:t xml:space="preserve"> prestataires</w:t>
      </w:r>
      <w:r>
        <w:t xml:space="preserve"> et une r</w:t>
      </w:r>
      <w:r w:rsidR="00FA6291" w:rsidRPr="00FA6291">
        <w:t>éduction histor</w:t>
      </w:r>
      <w:r>
        <w:t>ique des effectifs statutaires.</w:t>
      </w:r>
      <w:r w:rsidR="00907D9A">
        <w:t xml:space="preserve"> </w:t>
      </w:r>
      <w:r>
        <w:t xml:space="preserve">Il nous apparait de plus en plus nettement que, </w:t>
      </w:r>
      <w:r w:rsidR="00FA6291" w:rsidRPr="00FA6291">
        <w:t>pour nos dirigeants</w:t>
      </w:r>
      <w:r>
        <w:t>,</w:t>
      </w:r>
      <w:r w:rsidR="00FA6291" w:rsidRPr="00FA6291">
        <w:t xml:space="preserve"> </w:t>
      </w:r>
      <w:r>
        <w:t xml:space="preserve">l’essentiel </w:t>
      </w:r>
      <w:r w:rsidR="00FA6291" w:rsidRPr="00FA6291">
        <w:t>n’est pas EDF Commerce</w:t>
      </w:r>
      <w:r w:rsidR="00907D9A">
        <w:t>,</w:t>
      </w:r>
      <w:r w:rsidR="00FA6291" w:rsidRPr="00FA6291">
        <w:t xml:space="preserve"> mais bien les filiales qui sont autour d’elle</w:t>
      </w:r>
      <w:r>
        <w:t xml:space="preserve"> : </w:t>
      </w:r>
      <w:r w:rsidR="00FA6291" w:rsidRPr="00FA6291">
        <w:t>DALKIA, SOWEE, et dernièrement la plateforme de services</w:t>
      </w:r>
      <w:r w:rsidR="00907D9A">
        <w:t>,</w:t>
      </w:r>
      <w:r w:rsidR="00FA6291" w:rsidRPr="00FA6291">
        <w:t xml:space="preserve"> certes rattachée à EDF Commerce</w:t>
      </w:r>
      <w:r w:rsidR="00907D9A">
        <w:t>,</w:t>
      </w:r>
      <w:r w:rsidR="00FA6291" w:rsidRPr="00FA6291">
        <w:t xml:space="preserve"> mais composée majoritairement de salariés liés à la tristement cél</w:t>
      </w:r>
      <w:r w:rsidR="00215865">
        <w:t>èbre convention collective SYNTEC.</w:t>
      </w:r>
    </w:p>
    <w:p w14:paraId="0CAA2B4E" w14:textId="77777777" w:rsidR="00473437" w:rsidRPr="00FA6291" w:rsidRDefault="00FA6291" w:rsidP="009F3503">
      <w:pPr>
        <w:pStyle w:val="Date1"/>
      </w:pPr>
      <w:r w:rsidRPr="00FA6291">
        <w:t>Alors oui</w:t>
      </w:r>
      <w:r w:rsidR="00215865">
        <w:t> ! L</w:t>
      </w:r>
      <w:r w:rsidRPr="00FA6291">
        <w:t>a stratégie d’EDF est de rester un acteur majeur en Europe</w:t>
      </w:r>
      <w:r w:rsidR="00215865">
        <w:t>,</w:t>
      </w:r>
      <w:r w:rsidRPr="00FA6291">
        <w:t xml:space="preserve"> mais les </w:t>
      </w:r>
      <w:r w:rsidR="00215865">
        <w:t xml:space="preserve">salariés à </w:t>
      </w:r>
      <w:r w:rsidR="003134EA">
        <w:t>« </w:t>
      </w:r>
      <w:r w:rsidR="00215865">
        <w:t>la convention collective</w:t>
      </w:r>
      <w:r w:rsidR="003134EA">
        <w:t> »</w:t>
      </w:r>
      <w:r w:rsidR="00215865">
        <w:t xml:space="preserve"> S</w:t>
      </w:r>
      <w:r w:rsidRPr="00FA6291">
        <w:t xml:space="preserve">tatut </w:t>
      </w:r>
      <w:r w:rsidR="00215865">
        <w:t>des IEG y auront</w:t>
      </w:r>
      <w:r w:rsidRPr="00FA6291">
        <w:t>-il</w:t>
      </w:r>
      <w:r w:rsidR="00215865">
        <w:t>s vraiment leur place</w:t>
      </w:r>
      <w:r w:rsidRPr="00FA6291">
        <w:t xml:space="preserve"> et d</w:t>
      </w:r>
      <w:r w:rsidR="00215865">
        <w:t>ans quelles conditions sociales</w:t>
      </w:r>
      <w:r w:rsidR="003134EA">
        <w:t xml:space="preserve"> </w:t>
      </w:r>
      <w:r w:rsidRPr="00FA6291">
        <w:t>?</w:t>
      </w:r>
      <w:r w:rsidR="003134EA">
        <w:t xml:space="preserve"> </w:t>
      </w:r>
    </w:p>
    <w:p w14:paraId="774C0EF2" w14:textId="77777777" w:rsidR="00FA6291" w:rsidRDefault="00FA6291" w:rsidP="009F3503">
      <w:pPr>
        <w:pStyle w:val="Date1"/>
      </w:pPr>
    </w:p>
    <w:p w14:paraId="0E4C944A" w14:textId="77777777" w:rsidR="003134EA" w:rsidRDefault="003134EA" w:rsidP="009F3503">
      <w:pPr>
        <w:pStyle w:val="Date1"/>
      </w:pPr>
    </w:p>
    <w:p w14:paraId="2AE1A66A" w14:textId="77777777" w:rsidR="00666C66" w:rsidRPr="005F0DF5" w:rsidRDefault="0093242F" w:rsidP="009F3503">
      <w:pPr>
        <w:pStyle w:val="Date1"/>
        <w:rPr>
          <w:b/>
        </w:rPr>
      </w:pPr>
      <w:r w:rsidRPr="005F0DF5">
        <w:rPr>
          <w:b/>
        </w:rPr>
        <w:t xml:space="preserve"> </w:t>
      </w:r>
      <w:r w:rsidR="00666C66" w:rsidRPr="005F0DF5">
        <w:rPr>
          <w:b/>
        </w:rPr>
        <w:t>- Fonctions tertiaires et transverses : « je t’aime moi non plus ! »</w:t>
      </w:r>
      <w:r w:rsidR="007F5C02" w:rsidRPr="005F0DF5">
        <w:rPr>
          <w:b/>
        </w:rPr>
        <w:t xml:space="preserve"> ou </w:t>
      </w:r>
      <w:r w:rsidR="004A68BD" w:rsidRPr="005F0DF5">
        <w:rPr>
          <w:b/>
        </w:rPr>
        <w:t>version Hollywood</w:t>
      </w:r>
      <w:r w:rsidR="00564714" w:rsidRPr="005F0DF5">
        <w:rPr>
          <w:b/>
        </w:rPr>
        <w:t xml:space="preserve"> : « Retour en </w:t>
      </w:r>
      <w:r w:rsidR="007F5C02" w:rsidRPr="005F0DF5">
        <w:rPr>
          <w:b/>
        </w:rPr>
        <w:t>enfer</w:t>
      </w:r>
      <w:r w:rsidR="00564714" w:rsidRPr="005F0DF5">
        <w:rPr>
          <w:b/>
        </w:rPr>
        <w:t> »</w:t>
      </w:r>
    </w:p>
    <w:p w14:paraId="2DB9E795" w14:textId="77777777" w:rsidR="003134EA" w:rsidRDefault="003134EA" w:rsidP="009F3503">
      <w:pPr>
        <w:pStyle w:val="Date1"/>
      </w:pPr>
    </w:p>
    <w:p w14:paraId="4FF60603" w14:textId="32AFC142" w:rsidR="007312D5" w:rsidRDefault="00F13907" w:rsidP="009F3503">
      <w:pPr>
        <w:pStyle w:val="Date1"/>
      </w:pPr>
      <w:r>
        <w:t xml:space="preserve">Comme </w:t>
      </w:r>
      <w:r w:rsidR="0093222F">
        <w:t xml:space="preserve">la Direction </w:t>
      </w:r>
      <w:r>
        <w:t xml:space="preserve">Commerce, les entités de la Direction Transformation et Excellence Opérationnelle, appelée vulgairement « DTEO », sont </w:t>
      </w:r>
      <w:r w:rsidR="008141F1">
        <w:t xml:space="preserve">également </w:t>
      </w:r>
      <w:r>
        <w:t>dans le creuset</w:t>
      </w:r>
      <w:r w:rsidR="008141F1">
        <w:t xml:space="preserve"> </w:t>
      </w:r>
      <w:r>
        <w:t xml:space="preserve">de </w:t>
      </w:r>
      <w:r w:rsidR="00912B33">
        <w:t>« </w:t>
      </w:r>
      <w:r>
        <w:t>transformations</w:t>
      </w:r>
      <w:r w:rsidR="00912B33">
        <w:t> »</w:t>
      </w:r>
      <w:r>
        <w:t xml:space="preserve"> de grande ampleur à travers des restructurations</w:t>
      </w:r>
      <w:r w:rsidR="007312D5">
        <w:t xml:space="preserve"> et à coup de refonte des processus</w:t>
      </w:r>
      <w:r w:rsidR="00912B33">
        <w:t>,</w:t>
      </w:r>
      <w:r w:rsidR="007312D5">
        <w:t xml:space="preserve"> selon les principes du </w:t>
      </w:r>
      <w:r w:rsidR="0093222F">
        <w:t>« </w:t>
      </w:r>
      <w:r w:rsidR="007312D5">
        <w:t>lean management</w:t>
      </w:r>
      <w:r w:rsidR="0093222F">
        <w:t> »</w:t>
      </w:r>
      <w:r w:rsidR="007312D5">
        <w:t xml:space="preserve"> et </w:t>
      </w:r>
      <w:r w:rsidR="0093222F">
        <w:t>« </w:t>
      </w:r>
      <w:r w:rsidR="007312D5">
        <w:t>office</w:t>
      </w:r>
      <w:r w:rsidR="0093222F">
        <w:t> »</w:t>
      </w:r>
      <w:r w:rsidR="007312D5">
        <w:t xml:space="preserve">, d’où </w:t>
      </w:r>
      <w:r w:rsidR="00912B33">
        <w:t>« </w:t>
      </w:r>
      <w:r w:rsidR="007312D5">
        <w:t>l’excellence opérationnelle</w:t>
      </w:r>
      <w:r w:rsidR="00912B33">
        <w:t> »</w:t>
      </w:r>
      <w:r w:rsidR="007312D5">
        <w:t xml:space="preserve"> </w:t>
      </w:r>
      <w:r w:rsidR="008141F1">
        <w:t>que prone la direction </w:t>
      </w:r>
      <w:r w:rsidR="007312D5">
        <w:t>!</w:t>
      </w:r>
    </w:p>
    <w:p w14:paraId="1B95D739" w14:textId="77777777" w:rsidR="0093222F" w:rsidRDefault="0093222F" w:rsidP="009F3503">
      <w:pPr>
        <w:pStyle w:val="Date1"/>
      </w:pPr>
    </w:p>
    <w:p w14:paraId="2C51747D" w14:textId="42284E54" w:rsidR="00005D26" w:rsidRPr="009F3503" w:rsidRDefault="007312D5" w:rsidP="009F3503">
      <w:pPr>
        <w:pStyle w:val="Date1"/>
      </w:pPr>
      <w:r w:rsidRPr="009F3503">
        <w:t>Les mots magiques « technocratiques » cachent néanmoins une réalité tout aussi tangible de démotivation et même de souffrance</w:t>
      </w:r>
      <w:r w:rsidR="00912B33" w:rsidRPr="009F3503">
        <w:t>,</w:t>
      </w:r>
      <w:r w:rsidRPr="009F3503">
        <w:t xml:space="preserve"> comme le révèle, à la DSIT, le </w:t>
      </w:r>
      <w:r w:rsidR="00005D26" w:rsidRPr="009F3503">
        <w:t>rapport des médecins</w:t>
      </w:r>
      <w:r w:rsidR="00912B33" w:rsidRPr="009F3503">
        <w:t xml:space="preserve"> du travail. L</w:t>
      </w:r>
      <w:r w:rsidRPr="009F3503">
        <w:t xml:space="preserve">e </w:t>
      </w:r>
      <w:r w:rsidR="00005D26" w:rsidRPr="009F3503">
        <w:t xml:space="preserve">rythme effréné des réorganisations met </w:t>
      </w:r>
      <w:r w:rsidRPr="009F3503">
        <w:t>la plupart d</w:t>
      </w:r>
      <w:r w:rsidR="00005D26" w:rsidRPr="009F3503">
        <w:t xml:space="preserve">es </w:t>
      </w:r>
      <w:r w:rsidRPr="009F3503">
        <w:t xml:space="preserve">salariés </w:t>
      </w:r>
      <w:r w:rsidR="00005D26" w:rsidRPr="009F3503">
        <w:t xml:space="preserve">en porte à faux et discrédite le sens </w:t>
      </w:r>
      <w:r w:rsidRPr="009F3503">
        <w:t>même de c</w:t>
      </w:r>
      <w:r w:rsidR="00005D26" w:rsidRPr="009F3503">
        <w:t xml:space="preserve">es </w:t>
      </w:r>
      <w:r w:rsidRPr="009F3503">
        <w:t>changements</w:t>
      </w:r>
      <w:r w:rsidR="00005D26" w:rsidRPr="009F3503">
        <w:t>.</w:t>
      </w:r>
    </w:p>
    <w:p w14:paraId="3A55A0D0" w14:textId="4656FA41" w:rsidR="00005D26" w:rsidRDefault="00005D26" w:rsidP="009F3503">
      <w:pPr>
        <w:pStyle w:val="Date1"/>
      </w:pPr>
    </w:p>
    <w:p w14:paraId="7F1FCA2D" w14:textId="749B415A" w:rsidR="00D453E8" w:rsidRDefault="00335CCA" w:rsidP="009F3503">
      <w:pPr>
        <w:pStyle w:val="Date1"/>
      </w:pPr>
      <w:r>
        <w:t xml:space="preserve">Ne </w:t>
      </w:r>
      <w:r w:rsidR="00D453E8">
        <w:t>confond</w:t>
      </w:r>
      <w:r>
        <w:t>ons pas</w:t>
      </w:r>
      <w:r w:rsidR="00D453E8">
        <w:t xml:space="preserve"> vitesse et précipitation. La décision de mettre en place des nouvelles organisations ne peut être re</w:t>
      </w:r>
      <w:r>
        <w:t>çue</w:t>
      </w:r>
      <w:r w:rsidR="00D453E8">
        <w:t xml:space="preserve"> que dans des environnements stabilisés. Et de citer le  CSP-ITO, où pour certaines équipes toute la ligne managériale est renouvelée. Idem au CSP-DMA, où l’on observe le changement de rattachement managérial de 74 salariés et le changement de département de 18 salariés après une réforme récente en 2017. Sans compter la réversibilité des contrats de prestations qui s’est très mal passée à IT-O en ayant des effets de bord dans les autres CSP e</w:t>
      </w:r>
      <w:r>
        <w:t>n</w:t>
      </w:r>
      <w:r w:rsidR="00D453E8">
        <w:t xml:space="preserve"> demandant aux agents de paliers aux manquements des contrats d’infogérance revus à la baisse (externalisation hors des locaux EDF, P</w:t>
      </w:r>
      <w:r>
        <w:t>roblème</w:t>
      </w:r>
      <w:r w:rsidR="00D453E8">
        <w:t xml:space="preserve"> de montée en compétence des prestataires et rotation de interlocuteurs sous-traitants).</w:t>
      </w:r>
    </w:p>
    <w:p w14:paraId="019C231A" w14:textId="77777777" w:rsidR="00D453E8" w:rsidRDefault="00D453E8" w:rsidP="009F3503">
      <w:pPr>
        <w:pStyle w:val="Date1"/>
      </w:pPr>
    </w:p>
    <w:p w14:paraId="032708D1" w14:textId="77777777" w:rsidR="00335CCA" w:rsidRDefault="00D453E8" w:rsidP="009F3503">
      <w:pPr>
        <w:pStyle w:val="Date1"/>
      </w:pPr>
      <w:r>
        <w:t xml:space="preserve">Concernant la DST, la Direction continue sur sa trajectoire sans prendre en compte les risques psycho sociaux des agents. Tout est une histoire de coût : coût du bulletin de paye qui est trop chère, coût des implantations dans les métropoles régionales, et réduction évidemment des sites sur la région parisienne. Comment rendre attractif les métiers de la DST ? </w:t>
      </w:r>
    </w:p>
    <w:p w14:paraId="6E94CB0A" w14:textId="4797A047" w:rsidR="00D453E8" w:rsidRDefault="00D453E8" w:rsidP="009F3503">
      <w:pPr>
        <w:pStyle w:val="Date1"/>
      </w:pPr>
      <w:r>
        <w:t xml:space="preserve">La transformation de la DST, la digitalisation </w:t>
      </w:r>
      <w:r w:rsidR="00335CCA">
        <w:t>risque d’</w:t>
      </w:r>
      <w:r>
        <w:t xml:space="preserve">engendrer </w:t>
      </w:r>
      <w:r w:rsidR="00335CCA">
        <w:t xml:space="preserve">du </w:t>
      </w:r>
      <w:r>
        <w:t>mal</w:t>
      </w:r>
      <w:r w:rsidR="00335CCA">
        <w:t>-</w:t>
      </w:r>
      <w:r>
        <w:t xml:space="preserve">être </w:t>
      </w:r>
      <w:r w:rsidR="00335CCA">
        <w:t>sur des salariés déjà déstabilisés. Notons e</w:t>
      </w:r>
      <w:r>
        <w:t>nfin</w:t>
      </w:r>
      <w:r w:rsidR="00335CCA">
        <w:t xml:space="preserve"> que</w:t>
      </w:r>
      <w:r>
        <w:t xml:space="preserve"> les regroupements de sites ne permettr</w:t>
      </w:r>
      <w:r w:rsidR="003603A0">
        <w:t>ont pas</w:t>
      </w:r>
      <w:r>
        <w:t xml:space="preserve"> sur certains périmètres</w:t>
      </w:r>
      <w:r w:rsidR="003603A0">
        <w:t>,</w:t>
      </w:r>
      <w:r>
        <w:t xml:space="preserve"> comme en IDF</w:t>
      </w:r>
      <w:r w:rsidR="003603A0">
        <w:t>,</w:t>
      </w:r>
      <w:r>
        <w:t xml:space="preserve"> de réaffecter certains agents </w:t>
      </w:r>
      <w:r w:rsidR="003603A0">
        <w:t xml:space="preserve">de </w:t>
      </w:r>
      <w:r>
        <w:t>Maîtrises.</w:t>
      </w:r>
    </w:p>
    <w:p w14:paraId="5D3E43B4" w14:textId="77777777" w:rsidR="00D453E8" w:rsidRDefault="00D453E8" w:rsidP="009F3503">
      <w:pPr>
        <w:pStyle w:val="Date1"/>
      </w:pPr>
    </w:p>
    <w:p w14:paraId="02071346" w14:textId="77777777" w:rsidR="00912B33" w:rsidRDefault="00912B33" w:rsidP="009F3503">
      <w:pPr>
        <w:pStyle w:val="Date1"/>
      </w:pPr>
      <w:r>
        <w:t>Ce grand tourbillon de folie rationnalisatrice conduit à centraliser l</w:t>
      </w:r>
      <w:r w:rsidRPr="00912B33">
        <w:t>es effectifs en IDF</w:t>
      </w:r>
      <w:r>
        <w:t xml:space="preserve"> et dans les grandes métropoles, entraînant des contraintes parfois insupportables de trajets, de logement etc.</w:t>
      </w:r>
    </w:p>
    <w:p w14:paraId="7F4AB48B" w14:textId="77777777" w:rsidR="00912B33" w:rsidRPr="004A68BD" w:rsidRDefault="00912B33" w:rsidP="009F3503">
      <w:pPr>
        <w:pStyle w:val="Date1"/>
      </w:pPr>
      <w:r w:rsidRPr="004A68BD">
        <w:t>Clin d’œil à l’actualité</w:t>
      </w:r>
      <w:r w:rsidR="004A68BD" w:rsidRPr="004A68BD">
        <w:t xml:space="preserve"> : </w:t>
      </w:r>
      <w:r w:rsidRPr="004A68BD">
        <w:t>pourquoi EDF ne ferait</w:t>
      </w:r>
      <w:r w:rsidR="00B96F2B" w:rsidRPr="004A68BD">
        <w:t>-elle</w:t>
      </w:r>
      <w:r w:rsidRPr="004A68BD">
        <w:t xml:space="preserve"> pas finalement le choix inverse, à l’heure d’un numérique dont on nous rabat les oreilles, de décentraliser </w:t>
      </w:r>
      <w:r w:rsidR="00B96F2B" w:rsidRPr="004A68BD">
        <w:t xml:space="preserve">certaines activités </w:t>
      </w:r>
      <w:r w:rsidRPr="004A68BD">
        <w:t>en province, dans de petites communes</w:t>
      </w:r>
      <w:r w:rsidR="00B96F2B" w:rsidRPr="004A68BD">
        <w:t>,</w:t>
      </w:r>
      <w:r w:rsidRPr="004A68BD">
        <w:t xml:space="preserve"> </w:t>
      </w:r>
      <w:r w:rsidR="00B96F2B" w:rsidRPr="004A68BD">
        <w:t xml:space="preserve">par </w:t>
      </w:r>
      <w:r w:rsidR="004A68BD" w:rsidRPr="004A68BD">
        <w:t xml:space="preserve">de petites agences de proximité, </w:t>
      </w:r>
      <w:r w:rsidR="00B96F2B" w:rsidRPr="004A68BD">
        <w:t xml:space="preserve">le télétravail et le co-working responsable, </w:t>
      </w:r>
      <w:r w:rsidRPr="004A68BD">
        <w:t xml:space="preserve">afin </w:t>
      </w:r>
      <w:r w:rsidR="00B96F2B" w:rsidRPr="004A68BD">
        <w:t xml:space="preserve">justement </w:t>
      </w:r>
      <w:r w:rsidRPr="004A68BD">
        <w:t xml:space="preserve">de redonner de l’attractivité économique </w:t>
      </w:r>
      <w:r w:rsidR="00B96F2B" w:rsidRPr="004A68BD">
        <w:t xml:space="preserve">à </w:t>
      </w:r>
      <w:r w:rsidRPr="004A68BD">
        <w:t>n</w:t>
      </w:r>
      <w:r w:rsidR="00B96F2B" w:rsidRPr="004A68BD">
        <w:t>os régions et</w:t>
      </w:r>
      <w:r w:rsidRPr="004A68BD">
        <w:t xml:space="preserve"> </w:t>
      </w:r>
      <w:r w:rsidR="00B96F2B" w:rsidRPr="004A68BD">
        <w:t>à nos campagnes,</w:t>
      </w:r>
      <w:r w:rsidRPr="004A68BD">
        <w:t xml:space="preserve"> contribuant</w:t>
      </w:r>
      <w:r w:rsidR="00B96F2B" w:rsidRPr="004A68BD">
        <w:t xml:space="preserve"> ainsi</w:t>
      </w:r>
      <w:r w:rsidRPr="004A68BD">
        <w:t xml:space="preserve"> réellement à la lutte contre la désertification des territoires ?</w:t>
      </w:r>
    </w:p>
    <w:p w14:paraId="6FFD29C9" w14:textId="77777777" w:rsidR="00005D26" w:rsidRPr="004A68BD" w:rsidRDefault="00005D26" w:rsidP="009F3503">
      <w:pPr>
        <w:pStyle w:val="Date1"/>
      </w:pPr>
    </w:p>
    <w:p w14:paraId="5E38F66F" w14:textId="77777777" w:rsidR="00666C66" w:rsidRDefault="00666C66" w:rsidP="009F3503">
      <w:pPr>
        <w:pStyle w:val="Date1"/>
      </w:pPr>
    </w:p>
    <w:p w14:paraId="4A52E840" w14:textId="77777777" w:rsidR="00E86A02" w:rsidRPr="009F3503" w:rsidRDefault="00D8549F" w:rsidP="009F3503">
      <w:pPr>
        <w:pStyle w:val="Date1"/>
        <w:rPr>
          <w:b/>
        </w:rPr>
      </w:pPr>
      <w:r w:rsidRPr="009F3503">
        <w:rPr>
          <w:b/>
        </w:rPr>
        <w:t>2 - FO lance l’alerte sur plusieurs facteurs politico-économiques de fragilisation et de remise en cause des atouts d’un EDF intégré</w:t>
      </w:r>
      <w:r w:rsidR="00BF2CA8" w:rsidRPr="009F3503">
        <w:rPr>
          <w:b/>
        </w:rPr>
        <w:t xml:space="preserve"> et performant sur le long terme</w:t>
      </w:r>
    </w:p>
    <w:p w14:paraId="69A4B69D" w14:textId="77777777" w:rsidR="008141F1" w:rsidRPr="0074535F" w:rsidRDefault="008141F1" w:rsidP="009F3503">
      <w:pPr>
        <w:pStyle w:val="Date1"/>
      </w:pPr>
    </w:p>
    <w:p w14:paraId="6EFE9D4B" w14:textId="77777777" w:rsidR="00E868E0" w:rsidRPr="00BC7D5C" w:rsidRDefault="007F5C02" w:rsidP="009F3503">
      <w:pPr>
        <w:pStyle w:val="Date1"/>
      </w:pPr>
      <w:r>
        <w:t>Toutes c</w:t>
      </w:r>
      <w:r w:rsidR="00FC7C4D">
        <w:t xml:space="preserve">es options de gestion dans la chaîne de valeurs d’EDF SA et du Groupe, nous amènent à une réflexion plus large, dans le contexte actuel, </w:t>
      </w:r>
      <w:r>
        <w:t>sur l’</w:t>
      </w:r>
      <w:r w:rsidR="0009133C">
        <w:t>inadaptation</w:t>
      </w:r>
      <w:r w:rsidR="00D8549F" w:rsidRPr="00BC7D5C">
        <w:t xml:space="preserve"> </w:t>
      </w:r>
      <w:r w:rsidR="00E868E0" w:rsidRPr="00BC7D5C">
        <w:t>du marché néo-libéral de l’électricité</w:t>
      </w:r>
      <w:r w:rsidR="00E0382C" w:rsidRPr="00BC7D5C">
        <w:t xml:space="preserve"> </w:t>
      </w:r>
      <w:r w:rsidR="00FC7C4D">
        <w:t xml:space="preserve">à régir </w:t>
      </w:r>
      <w:r>
        <w:t xml:space="preserve">sainement et durablement </w:t>
      </w:r>
      <w:r w:rsidR="009358B9">
        <w:t xml:space="preserve">dans </w:t>
      </w:r>
      <w:r w:rsidR="00FC7C4D">
        <w:t>ce secteur d’activité : c</w:t>
      </w:r>
      <w:r w:rsidR="00E868E0" w:rsidRPr="00BC7D5C">
        <w:t xml:space="preserve">oncurrence </w:t>
      </w:r>
      <w:r w:rsidR="00D8549F" w:rsidRPr="00BC7D5C">
        <w:t xml:space="preserve">artificielle </w:t>
      </w:r>
      <w:r w:rsidR="005B7B08" w:rsidRPr="00BC7D5C">
        <w:t xml:space="preserve">dérégulée voir </w:t>
      </w:r>
      <w:r w:rsidR="00E868E0" w:rsidRPr="00BC7D5C">
        <w:t>débridée</w:t>
      </w:r>
      <w:r w:rsidR="00FC7C4D">
        <w:t>,</w:t>
      </w:r>
      <w:r w:rsidR="005B7B08" w:rsidRPr="00BC7D5C">
        <w:t xml:space="preserve"> problème</w:t>
      </w:r>
      <w:r w:rsidR="00FC7C4D">
        <w:t xml:space="preserve">s posés par </w:t>
      </w:r>
      <w:r>
        <w:t>« l’usine à gaz conceptuelle » d</w:t>
      </w:r>
      <w:r w:rsidR="005B7B08" w:rsidRPr="00BC7D5C">
        <w:t>’</w:t>
      </w:r>
      <w:r w:rsidR="00BF2CA8" w:rsidRPr="00BC7D5C">
        <w:t xml:space="preserve">Accès Régulé à </w:t>
      </w:r>
      <w:r w:rsidR="00432164" w:rsidRPr="00BC7D5C">
        <w:t>l’Energie Nucléaire Historique ou ARENH</w:t>
      </w:r>
      <w:r w:rsidR="00FC7C4D">
        <w:t xml:space="preserve">, </w:t>
      </w:r>
      <w:r w:rsidR="00BF2CA8" w:rsidRPr="00BC7D5C">
        <w:t>remise</w:t>
      </w:r>
      <w:r w:rsidR="00432164" w:rsidRPr="00BC7D5C">
        <w:t>s</w:t>
      </w:r>
      <w:r w:rsidR="00BF2CA8" w:rsidRPr="00BC7D5C">
        <w:t xml:space="preserve"> en cause des Tarifs Réglementés de Vente de l’électricité</w:t>
      </w:r>
      <w:r w:rsidR="00FC7C4D">
        <w:t>, et plus généralement, éclatement d’un secteur qui a pourtant besoin d’intégration pour assurer tous les investissements nécessaires et dont la plupart relèvent de l’intérêt général et du service public.</w:t>
      </w:r>
    </w:p>
    <w:p w14:paraId="38E5348B" w14:textId="77777777" w:rsidR="00BF2CA8" w:rsidRDefault="007F5C02" w:rsidP="009F3503">
      <w:pPr>
        <w:pStyle w:val="Date1"/>
      </w:pPr>
      <w:r>
        <w:t>D</w:t>
      </w:r>
      <w:r w:rsidR="00131E64">
        <w:t>epuis</w:t>
      </w:r>
      <w:r w:rsidR="000938FC">
        <w:t xml:space="preserve"> la première directive « électricité »</w:t>
      </w:r>
      <w:r>
        <w:t>, nous prêchons dans le désert, assez vainement bien entendu, sur le</w:t>
      </w:r>
      <w:r w:rsidR="000938FC">
        <w:t xml:space="preserve"> caractère de « marchandise » du produit électricité, pouvant être appréhendé sur un marché libre et ouvert qui permettrait d’obtenir le prix optimum d’é</w:t>
      </w:r>
      <w:r>
        <w:t xml:space="preserve">quilibre, pour le consommateur et </w:t>
      </w:r>
      <w:r w:rsidR="000938FC">
        <w:t>po</w:t>
      </w:r>
      <w:r>
        <w:t xml:space="preserve">ur assurer les investissements colossaux </w:t>
      </w:r>
      <w:r w:rsidR="000938FC">
        <w:t>nécessaires à la sûreté et à la qualité physique de ce produit industrie</w:t>
      </w:r>
      <w:r>
        <w:t>l bien spécial. Depuis le milieu</w:t>
      </w:r>
      <w:r w:rsidR="000938FC">
        <w:t xml:space="preserve"> </w:t>
      </w:r>
      <w:r>
        <w:t>d</w:t>
      </w:r>
      <w:r w:rsidR="000938FC">
        <w:t xml:space="preserve">es années 90, la réponse dogmatique est </w:t>
      </w:r>
      <w:r w:rsidR="0009133C">
        <w:t xml:space="preserve">en substance </w:t>
      </w:r>
      <w:r w:rsidR="000938FC">
        <w:t>toujours la même : circulez, vous ne comprenez rien, le marché optimise tout naturellement !</w:t>
      </w:r>
    </w:p>
    <w:p w14:paraId="4C1D7A5C" w14:textId="77777777" w:rsidR="00374FE2" w:rsidRDefault="00374FE2" w:rsidP="009F3503">
      <w:pPr>
        <w:pStyle w:val="Date1"/>
        <w:rPr>
          <w:b/>
        </w:rPr>
      </w:pPr>
      <w:r>
        <w:t xml:space="preserve">Pourtant un peu de bon sens (d’intérêt général) pourrait nous sortir de cette impasse économique conceptuelle. Rappelons la réflexion du Cabinet SECAFI dans son </w:t>
      </w:r>
      <w:r w:rsidRPr="0074535F">
        <w:rPr>
          <w:b/>
        </w:rPr>
        <w:t>Rapp</w:t>
      </w:r>
      <w:r>
        <w:rPr>
          <w:b/>
        </w:rPr>
        <w:t xml:space="preserve">ort </w:t>
      </w:r>
      <w:r w:rsidRPr="0074535F">
        <w:rPr>
          <w:b/>
        </w:rPr>
        <w:t xml:space="preserve">au CCE du 17 mai 2018 </w:t>
      </w:r>
      <w:r>
        <w:rPr>
          <w:b/>
        </w:rPr>
        <w:t xml:space="preserve">concernant </w:t>
      </w:r>
      <w:r w:rsidRPr="0074535F">
        <w:rPr>
          <w:b/>
        </w:rPr>
        <w:t>l’analyse des comptes</w:t>
      </w:r>
      <w:r>
        <w:rPr>
          <w:b/>
        </w:rPr>
        <w:t xml:space="preserve"> : </w:t>
      </w:r>
    </w:p>
    <w:p w14:paraId="21EBE84D" w14:textId="77777777" w:rsidR="00374FE2" w:rsidRPr="009917D3" w:rsidRDefault="00BF2CA8" w:rsidP="009F3503">
      <w:pPr>
        <w:pStyle w:val="Date1"/>
        <w:rPr>
          <w:i/>
        </w:rPr>
      </w:pPr>
      <w:r w:rsidRPr="009917D3">
        <w:rPr>
          <w:i/>
        </w:rPr>
        <w:t>« </w:t>
      </w:r>
      <w:r w:rsidR="001E63ED" w:rsidRPr="009917D3">
        <w:rPr>
          <w:i/>
        </w:rPr>
        <w:t xml:space="preserve">Dans la pratique, les marchés électriques libéralisés apparaissent comme une </w:t>
      </w:r>
      <w:r w:rsidR="001E63ED" w:rsidRPr="009917D3">
        <w:rPr>
          <w:i/>
          <w:iCs/>
        </w:rPr>
        <w:t>« institution pour beau temps »</w:t>
      </w:r>
      <w:r w:rsidR="001E63ED" w:rsidRPr="009917D3">
        <w:rPr>
          <w:i/>
        </w:rPr>
        <w:t>. La concurrence semble bien fonctionner hors congestion et situation tendue</w:t>
      </w:r>
      <w:r w:rsidR="00374FE2" w:rsidRPr="009917D3">
        <w:rPr>
          <w:i/>
        </w:rPr>
        <w:t>…</w:t>
      </w:r>
    </w:p>
    <w:p w14:paraId="723B9362" w14:textId="77777777" w:rsidR="001E63ED" w:rsidRPr="009917D3" w:rsidRDefault="001E63ED" w:rsidP="009F3503">
      <w:pPr>
        <w:pStyle w:val="Date1"/>
        <w:rPr>
          <w:i/>
        </w:rPr>
      </w:pPr>
      <w:r w:rsidRPr="009917D3">
        <w:rPr>
          <w:i/>
        </w:rPr>
        <w:t>Dans ces situations, les prix sont donc inférieurs aux coûts marginaux de long terme, c'est-à-dire trop bas pour inciter à investir et rémunérer les coûts fixes. La question du financement de l’investissement des équipements à forte proportion de coûts fixes comme le nucléaire et les renouvelables ne peut pas être résolue, selon nous, dans le cadre d’une économie de marché. D’où la nécessité de mettre en place de nouveaux modes de régulation : le marché de capacité, les « contrats pour différence » aussi bien pour le nucléaire que pour les renouvelables …</w:t>
      </w:r>
    </w:p>
    <w:p w14:paraId="72920664" w14:textId="77777777" w:rsidR="00E868E0" w:rsidRPr="009917D3" w:rsidRDefault="001E63ED" w:rsidP="009F3503">
      <w:pPr>
        <w:pStyle w:val="Date1"/>
        <w:rPr>
          <w:i/>
        </w:rPr>
      </w:pPr>
      <w:r w:rsidRPr="009917D3">
        <w:rPr>
          <w:i/>
        </w:rPr>
        <w:t>La question fondamentale nous paraît être celle-ci : s’il s’agit de protéger le nucléaire des errements du marché</w:t>
      </w:r>
      <w:r w:rsidR="00C957BA" w:rsidRPr="009917D3">
        <w:rPr>
          <w:i/>
        </w:rPr>
        <w:t xml:space="preserve">, alors à quoi sert le marché ? </w:t>
      </w:r>
      <w:r w:rsidRPr="009917D3">
        <w:rPr>
          <w:i/>
        </w:rPr>
        <w:t>La fourniture d’électricité est un tout, les moyens de production sont intégrés et interdépendants.</w:t>
      </w:r>
      <w:r w:rsidR="00C957BA" w:rsidRPr="009917D3">
        <w:rPr>
          <w:i/>
        </w:rPr>
        <w:t xml:space="preserve"> </w:t>
      </w:r>
      <w:r w:rsidRPr="009917D3">
        <w:rPr>
          <w:i/>
        </w:rPr>
        <w:t>La force du modèle actuel, c’est que le nucléaire puisse prendre en charge l’intermittence des ENR et son absence en pointe : avoir ces deux moyens de production au sein du même producteur est une chance en termes de pilotage et de vision capacitaire.</w:t>
      </w:r>
      <w:r w:rsidR="00C957BA" w:rsidRPr="009917D3">
        <w:rPr>
          <w:i/>
        </w:rPr>
        <w:t xml:space="preserve"> </w:t>
      </w:r>
      <w:r w:rsidRPr="009917D3">
        <w:rPr>
          <w:i/>
        </w:rPr>
        <w:t>Au-delà du foisonnement des consommations, un autre avantage du système centralisé est de permettre un horizon LT dans les investissements plutôt que des arbitrages CT ou moyen-terme des marchés. Notre postulat : la main visible de l’entreprise intégrée est plus efficace que la main i</w:t>
      </w:r>
      <w:r w:rsidR="00C957BA" w:rsidRPr="009917D3">
        <w:rPr>
          <w:i/>
        </w:rPr>
        <w:t>nvisible du marché »</w:t>
      </w:r>
    </w:p>
    <w:p w14:paraId="670C2AD4" w14:textId="77777777" w:rsidR="00E868E0" w:rsidRPr="0074535F" w:rsidRDefault="00E868E0" w:rsidP="009F3503">
      <w:pPr>
        <w:pStyle w:val="Date1"/>
      </w:pPr>
    </w:p>
    <w:p w14:paraId="58D3F4A2" w14:textId="77777777" w:rsidR="00A758A1" w:rsidRPr="0074535F" w:rsidRDefault="009358B9" w:rsidP="009F3503">
      <w:pPr>
        <w:pStyle w:val="Date1"/>
      </w:pPr>
      <w:r w:rsidRPr="009358B9">
        <w:t>Isoler le nucléaire, que ce soit juridiquement ou « régulatoirement » (</w:t>
      </w:r>
      <w:r w:rsidR="00BE4BAF">
        <w:t>P</w:t>
      </w:r>
      <w:r w:rsidRPr="009358B9">
        <w:t xml:space="preserve">ar des tarifs régulés nucléaire), nous parait comporter le risque d’aller </w:t>
      </w:r>
      <w:r>
        <w:t>vers une « structure de déficit</w:t>
      </w:r>
      <w:r w:rsidR="00BE4BAF">
        <w:t xml:space="preserve"> </w:t>
      </w:r>
      <w:r w:rsidRPr="009358B9">
        <w:t>» du</w:t>
      </w:r>
      <w:r>
        <w:t xml:space="preserve"> type R</w:t>
      </w:r>
      <w:r w:rsidR="00BE4BAF">
        <w:t xml:space="preserve">éseau </w:t>
      </w:r>
      <w:r>
        <w:t>F</w:t>
      </w:r>
      <w:r w:rsidR="00BE4BAF">
        <w:t xml:space="preserve">erré de </w:t>
      </w:r>
      <w:r>
        <w:t>F</w:t>
      </w:r>
      <w:r w:rsidR="00BE4BAF">
        <w:t>rance dans le</w:t>
      </w:r>
      <w:r>
        <w:t xml:space="preserve"> groupe SNCF. </w:t>
      </w:r>
      <w:r w:rsidRPr="009358B9">
        <w:t xml:space="preserve">Même la Grande Bretagne, </w:t>
      </w:r>
      <w:r w:rsidR="00BE4BAF">
        <w:t>lors de son projet politique</w:t>
      </w:r>
      <w:r w:rsidRPr="009358B9">
        <w:t xml:space="preserve"> vers une « Re-régulation » de son secteur de l’électricité, s’est attachée à respecter le principe de la « neutralité technologique » (nucléaire, ENR, etc…)</w:t>
      </w:r>
      <w:r w:rsidR="00BE4BAF">
        <w:t xml:space="preserve">. S'en écarter présentait, en effet, </w:t>
      </w:r>
      <w:r w:rsidRPr="009358B9">
        <w:t>un risque trop grand que la Commission Européenne y voit une aide d'Etat mortifère.</w:t>
      </w:r>
    </w:p>
    <w:p w14:paraId="565CE116" w14:textId="77777777" w:rsidR="00E868E0" w:rsidRDefault="00E868E0" w:rsidP="009F3503">
      <w:pPr>
        <w:pStyle w:val="Date1"/>
      </w:pPr>
    </w:p>
    <w:p w14:paraId="4433FAF5" w14:textId="77777777" w:rsidR="007B0696" w:rsidRDefault="00BE4BAF" w:rsidP="009F3503">
      <w:pPr>
        <w:pStyle w:val="Date1"/>
      </w:pPr>
      <w:r>
        <w:t>Finalement avons-nous réellement les moyens de certaines ambitions et proje</w:t>
      </w:r>
      <w:r w:rsidR="004A68BD">
        <w:t>ts qui paraissent, à vous lire ou vous entendre</w:t>
      </w:r>
      <w:r>
        <w:t>, de véritables développements et réorientations de l’activité</w:t>
      </w:r>
      <w:r w:rsidR="007B0696">
        <w:t xml:space="preserve"> ? </w:t>
      </w:r>
    </w:p>
    <w:p w14:paraId="192F6D69" w14:textId="77777777" w:rsidR="00D24E98" w:rsidRDefault="007B0696" w:rsidP="009F3503">
      <w:pPr>
        <w:pStyle w:val="Date1"/>
      </w:pPr>
      <w:r>
        <w:t>Tous les experts sont d’accord, nous ne disposons à moyen et long terme que de marges réduites</w:t>
      </w:r>
      <w:r w:rsidR="00BE4BAF">
        <w:t>.</w:t>
      </w:r>
      <w:r>
        <w:t xml:space="preserve"> Ainsi, lors de la présentation des comptes consolidés du Groupe France, le Cabinet </w:t>
      </w:r>
      <w:r w:rsidR="004A68BD">
        <w:t>3E</w:t>
      </w:r>
      <w:r>
        <w:t xml:space="preserve"> a </w:t>
      </w:r>
      <w:r w:rsidR="004A68BD">
        <w:t xml:space="preserve">bien résumé </w:t>
      </w:r>
      <w:r>
        <w:t xml:space="preserve">notre dynamique financière : </w:t>
      </w:r>
      <w:r w:rsidRPr="004A68BD">
        <w:rPr>
          <w:i/>
        </w:rPr>
        <w:t>« Les gains de résultats, y compris ceux issus du plan d’économies, profiteront principalement à l’Etat (Actionnaire et bénéficiaire de l’impôt). Tout gain de résultat ne profitera qu’à hauteur de 1/3 au financement de l’entreprise ».</w:t>
      </w:r>
    </w:p>
    <w:p w14:paraId="4B8517E8" w14:textId="77777777" w:rsidR="007B0696" w:rsidRDefault="007B0696" w:rsidP="009F3503">
      <w:pPr>
        <w:pStyle w:val="Date1"/>
      </w:pPr>
      <w:r>
        <w:t xml:space="preserve">Quel type de développement </w:t>
      </w:r>
      <w:r w:rsidR="004A68BD">
        <w:t xml:space="preserve">réel projetons-nous sur </w:t>
      </w:r>
      <w:r>
        <w:t>l’international, le solaire, la mobilité électrique etc., face à des concurrents qui investiraient directement massivement sur ces mêmes champs ?</w:t>
      </w:r>
    </w:p>
    <w:p w14:paraId="4BF2F30D" w14:textId="77777777" w:rsidR="007B0696" w:rsidRDefault="007B0696" w:rsidP="009F3503">
      <w:pPr>
        <w:pStyle w:val="Date1"/>
      </w:pPr>
      <w:bookmarkStart w:id="0" w:name="_GoBack"/>
      <w:bookmarkEnd w:id="0"/>
    </w:p>
    <w:sectPr w:rsidR="007B0696" w:rsidSect="00A93885">
      <w:footerReference w:type="default" r:id="rId8"/>
      <w:headerReference w:type="first" r:id="rId9"/>
      <w:footerReference w:type="first" r:id="rId10"/>
      <w:pgSz w:w="11900" w:h="16840"/>
      <w:pgMar w:top="1440"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6A35" w14:textId="77777777" w:rsidR="007D0893" w:rsidRDefault="007D0893" w:rsidP="007F5B32">
      <w:r>
        <w:separator/>
      </w:r>
    </w:p>
  </w:endnote>
  <w:endnote w:type="continuationSeparator" w:id="0">
    <w:p w14:paraId="36F056FC" w14:textId="77777777" w:rsidR="007D0893" w:rsidRDefault="007D0893" w:rsidP="007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DE41" w14:textId="77777777" w:rsidR="00A1220A" w:rsidRDefault="00A1220A" w:rsidP="009122BC">
    <w:pPr>
      <w:pStyle w:val="Pieddepage"/>
      <w:jc w:val="right"/>
    </w:pPr>
    <w:r w:rsidRPr="0045351A">
      <w:rPr>
        <w:noProof/>
      </w:rPr>
      <w:drawing>
        <wp:inline distT="0" distB="0" distL="0" distR="0" wp14:anchorId="58B3E188" wp14:editId="07E00091">
          <wp:extent cx="6407999" cy="1191981"/>
          <wp:effectExtent l="0" t="0" r="0" b="825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bleu.png"/>
                  <pic:cNvPicPr/>
                </pic:nvPicPr>
                <pic:blipFill>
                  <a:blip r:embed="rId1">
                    <a:extLst>
                      <a:ext uri="{28A0092B-C50C-407E-A947-70E740481C1C}">
                        <a14:useLocalDpi xmlns:a14="http://schemas.microsoft.com/office/drawing/2010/main" val="0"/>
                      </a:ext>
                    </a:extLst>
                  </a:blip>
                  <a:stretch>
                    <a:fillRect/>
                  </a:stretch>
                </pic:blipFill>
                <pic:spPr>
                  <a:xfrm>
                    <a:off x="0" y="0"/>
                    <a:ext cx="6407999" cy="119198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1A30" w14:textId="77777777" w:rsidR="00A1220A" w:rsidRDefault="00A1220A" w:rsidP="0045351A">
    <w:pPr>
      <w:pStyle w:val="Pieddepage"/>
      <w:jc w:val="right"/>
    </w:pPr>
    <w:r w:rsidRPr="0045351A">
      <w:rPr>
        <w:noProof/>
      </w:rPr>
      <w:drawing>
        <wp:inline distT="0" distB="0" distL="0" distR="0" wp14:anchorId="75821356" wp14:editId="1A2CB518">
          <wp:extent cx="6407999" cy="1191981"/>
          <wp:effectExtent l="0" t="0" r="0" b="190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bleu.png"/>
                  <pic:cNvPicPr/>
                </pic:nvPicPr>
                <pic:blipFill>
                  <a:blip r:embed="rId1">
                    <a:extLst>
                      <a:ext uri="{28A0092B-C50C-407E-A947-70E740481C1C}">
                        <a14:useLocalDpi xmlns:a14="http://schemas.microsoft.com/office/drawing/2010/main" val="0"/>
                      </a:ext>
                    </a:extLst>
                  </a:blip>
                  <a:stretch>
                    <a:fillRect/>
                  </a:stretch>
                </pic:blipFill>
                <pic:spPr>
                  <a:xfrm>
                    <a:off x="0" y="0"/>
                    <a:ext cx="6407999" cy="119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1690" w14:textId="77777777" w:rsidR="007D0893" w:rsidRDefault="007D0893" w:rsidP="007F5B32">
      <w:r>
        <w:separator/>
      </w:r>
    </w:p>
  </w:footnote>
  <w:footnote w:type="continuationSeparator" w:id="0">
    <w:p w14:paraId="10575297" w14:textId="77777777" w:rsidR="007D0893" w:rsidRDefault="007D0893" w:rsidP="007F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2A00" w14:textId="77777777" w:rsidR="00A1220A" w:rsidRDefault="00A1220A">
    <w:pPr>
      <w:pStyle w:val="En-tte"/>
    </w:pPr>
    <w:r w:rsidRPr="0045351A">
      <w:rPr>
        <w:noProof/>
      </w:rPr>
      <w:drawing>
        <wp:inline distT="0" distB="0" distL="0" distR="0" wp14:anchorId="37826C34" wp14:editId="217DE334">
          <wp:extent cx="3395472" cy="2136648"/>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bleu.png"/>
                  <pic:cNvPicPr/>
                </pic:nvPicPr>
                <pic:blipFill>
                  <a:blip r:embed="rId1">
                    <a:extLst>
                      <a:ext uri="{28A0092B-C50C-407E-A947-70E740481C1C}">
                        <a14:useLocalDpi xmlns:a14="http://schemas.microsoft.com/office/drawing/2010/main" val="0"/>
                      </a:ext>
                    </a:extLst>
                  </a:blip>
                  <a:stretch>
                    <a:fillRect/>
                  </a:stretch>
                </pic:blipFill>
                <pic:spPr>
                  <a:xfrm>
                    <a:off x="0" y="0"/>
                    <a:ext cx="3395472" cy="2136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65D"/>
    <w:multiLevelType w:val="hybridMultilevel"/>
    <w:tmpl w:val="31D653D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178F7D35"/>
    <w:multiLevelType w:val="multilevel"/>
    <w:tmpl w:val="7AB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942E9"/>
    <w:multiLevelType w:val="hybridMultilevel"/>
    <w:tmpl w:val="99F0FEC0"/>
    <w:lvl w:ilvl="0" w:tplc="9938A6AC">
      <w:start w:val="2"/>
      <w:numFmt w:val="bullet"/>
      <w:lvlText w:val=""/>
      <w:lvlJc w:val="left"/>
      <w:pPr>
        <w:ind w:left="1494" w:hanging="360"/>
      </w:pPr>
      <w:rPr>
        <w:rFonts w:ascii="Wingdings" w:eastAsia="Times New Roman" w:hAnsi="Wingdings"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7314DA8"/>
    <w:multiLevelType w:val="multilevel"/>
    <w:tmpl w:val="EC08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950627"/>
    <w:multiLevelType w:val="hybridMultilevel"/>
    <w:tmpl w:val="516034EC"/>
    <w:lvl w:ilvl="0" w:tplc="0C8CB676">
      <w:start w:val="2"/>
      <w:numFmt w:val="bullet"/>
      <w:lvlText w:val=""/>
      <w:lvlJc w:val="left"/>
      <w:pPr>
        <w:ind w:left="1494" w:hanging="360"/>
      </w:pPr>
      <w:rPr>
        <w:rFonts w:ascii="Wingdings" w:eastAsia="Times New Roman" w:hAnsi="Wingdings"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7A916012"/>
    <w:multiLevelType w:val="hybridMultilevel"/>
    <w:tmpl w:val="0B0AEEB8"/>
    <w:lvl w:ilvl="0" w:tplc="D57CB396">
      <w:numFmt w:val="bullet"/>
      <w:lvlText w:val="-"/>
      <w:lvlJc w:val="left"/>
      <w:pPr>
        <w:ind w:left="1764" w:hanging="360"/>
      </w:pPr>
      <w:rPr>
        <w:rFonts w:ascii="Arial" w:eastAsia="Times New Roman" w:hAnsi="Arial" w:cs="Arial"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32"/>
    <w:rsid w:val="00004662"/>
    <w:rsid w:val="00005D26"/>
    <w:rsid w:val="00011ED0"/>
    <w:rsid w:val="00036AAA"/>
    <w:rsid w:val="0004086A"/>
    <w:rsid w:val="000763DD"/>
    <w:rsid w:val="000777D5"/>
    <w:rsid w:val="00090479"/>
    <w:rsid w:val="0009133C"/>
    <w:rsid w:val="000938FC"/>
    <w:rsid w:val="000B501F"/>
    <w:rsid w:val="000B55DF"/>
    <w:rsid w:val="000C16A7"/>
    <w:rsid w:val="000C2199"/>
    <w:rsid w:val="000D47A3"/>
    <w:rsid w:val="000E4B12"/>
    <w:rsid w:val="000F3CBE"/>
    <w:rsid w:val="0011186F"/>
    <w:rsid w:val="00131E64"/>
    <w:rsid w:val="00134859"/>
    <w:rsid w:val="00145AC0"/>
    <w:rsid w:val="00153CFD"/>
    <w:rsid w:val="00160AA7"/>
    <w:rsid w:val="001744FA"/>
    <w:rsid w:val="0019747A"/>
    <w:rsid w:val="001A337A"/>
    <w:rsid w:val="001B0CAB"/>
    <w:rsid w:val="001B47DF"/>
    <w:rsid w:val="001C5FFB"/>
    <w:rsid w:val="001E180D"/>
    <w:rsid w:val="001E63ED"/>
    <w:rsid w:val="001F1FAD"/>
    <w:rsid w:val="001F5A49"/>
    <w:rsid w:val="00213855"/>
    <w:rsid w:val="00215865"/>
    <w:rsid w:val="002218F1"/>
    <w:rsid w:val="00234EB6"/>
    <w:rsid w:val="002403BE"/>
    <w:rsid w:val="00244E1E"/>
    <w:rsid w:val="002456AF"/>
    <w:rsid w:val="0024671F"/>
    <w:rsid w:val="00250767"/>
    <w:rsid w:val="00264222"/>
    <w:rsid w:val="002708C2"/>
    <w:rsid w:val="002756A1"/>
    <w:rsid w:val="00283865"/>
    <w:rsid w:val="002939E9"/>
    <w:rsid w:val="002A26C8"/>
    <w:rsid w:val="002A659E"/>
    <w:rsid w:val="002B43A9"/>
    <w:rsid w:val="002D71D8"/>
    <w:rsid w:val="0030312E"/>
    <w:rsid w:val="003134EA"/>
    <w:rsid w:val="0031755C"/>
    <w:rsid w:val="00320FEA"/>
    <w:rsid w:val="00321C21"/>
    <w:rsid w:val="003236A6"/>
    <w:rsid w:val="003252D5"/>
    <w:rsid w:val="00327621"/>
    <w:rsid w:val="0033166C"/>
    <w:rsid w:val="00335CCA"/>
    <w:rsid w:val="003365DC"/>
    <w:rsid w:val="003526C9"/>
    <w:rsid w:val="00357D11"/>
    <w:rsid w:val="003603A0"/>
    <w:rsid w:val="00363119"/>
    <w:rsid w:val="00367424"/>
    <w:rsid w:val="00374FE2"/>
    <w:rsid w:val="00385CAD"/>
    <w:rsid w:val="00390887"/>
    <w:rsid w:val="003A1956"/>
    <w:rsid w:val="003B009E"/>
    <w:rsid w:val="003C4395"/>
    <w:rsid w:val="003E4403"/>
    <w:rsid w:val="003E5177"/>
    <w:rsid w:val="003F21E3"/>
    <w:rsid w:val="003F7DAD"/>
    <w:rsid w:val="00401876"/>
    <w:rsid w:val="0040295F"/>
    <w:rsid w:val="00432164"/>
    <w:rsid w:val="0045351A"/>
    <w:rsid w:val="00457480"/>
    <w:rsid w:val="00470372"/>
    <w:rsid w:val="00472958"/>
    <w:rsid w:val="00473437"/>
    <w:rsid w:val="00473DA2"/>
    <w:rsid w:val="00480EB0"/>
    <w:rsid w:val="00481032"/>
    <w:rsid w:val="00482350"/>
    <w:rsid w:val="00497815"/>
    <w:rsid w:val="004A1CBC"/>
    <w:rsid w:val="004A5AF7"/>
    <w:rsid w:val="004A68BD"/>
    <w:rsid w:val="004C4DE6"/>
    <w:rsid w:val="004F01C4"/>
    <w:rsid w:val="004F3C2A"/>
    <w:rsid w:val="00500005"/>
    <w:rsid w:val="005073DC"/>
    <w:rsid w:val="00510581"/>
    <w:rsid w:val="0052522A"/>
    <w:rsid w:val="00541804"/>
    <w:rsid w:val="00545AFA"/>
    <w:rsid w:val="00547D4E"/>
    <w:rsid w:val="00550F26"/>
    <w:rsid w:val="0056045C"/>
    <w:rsid w:val="005626CA"/>
    <w:rsid w:val="00564714"/>
    <w:rsid w:val="00597023"/>
    <w:rsid w:val="005A12FC"/>
    <w:rsid w:val="005A1B8E"/>
    <w:rsid w:val="005B0F63"/>
    <w:rsid w:val="005B7B08"/>
    <w:rsid w:val="005F0DF5"/>
    <w:rsid w:val="005F6F1C"/>
    <w:rsid w:val="0061748F"/>
    <w:rsid w:val="00624268"/>
    <w:rsid w:val="00641C4A"/>
    <w:rsid w:val="00651DF7"/>
    <w:rsid w:val="006618DC"/>
    <w:rsid w:val="00664AE5"/>
    <w:rsid w:val="00666C66"/>
    <w:rsid w:val="00666DE0"/>
    <w:rsid w:val="00673D14"/>
    <w:rsid w:val="00684916"/>
    <w:rsid w:val="00686E79"/>
    <w:rsid w:val="006E0EC6"/>
    <w:rsid w:val="00723C68"/>
    <w:rsid w:val="007312D5"/>
    <w:rsid w:val="007320A8"/>
    <w:rsid w:val="007330DD"/>
    <w:rsid w:val="00742937"/>
    <w:rsid w:val="0074535F"/>
    <w:rsid w:val="007465DA"/>
    <w:rsid w:val="0074732A"/>
    <w:rsid w:val="00751F41"/>
    <w:rsid w:val="007671AF"/>
    <w:rsid w:val="0077568D"/>
    <w:rsid w:val="0079119E"/>
    <w:rsid w:val="00794448"/>
    <w:rsid w:val="007B0696"/>
    <w:rsid w:val="007B5462"/>
    <w:rsid w:val="007C45C5"/>
    <w:rsid w:val="007D0893"/>
    <w:rsid w:val="007D48C5"/>
    <w:rsid w:val="007D73DA"/>
    <w:rsid w:val="007E3501"/>
    <w:rsid w:val="007E7E59"/>
    <w:rsid w:val="007F5B32"/>
    <w:rsid w:val="007F5C02"/>
    <w:rsid w:val="008141F1"/>
    <w:rsid w:val="00832B3D"/>
    <w:rsid w:val="0083674A"/>
    <w:rsid w:val="00842467"/>
    <w:rsid w:val="00852E96"/>
    <w:rsid w:val="00874842"/>
    <w:rsid w:val="008B6F5F"/>
    <w:rsid w:val="008C6A3D"/>
    <w:rsid w:val="008E4FBE"/>
    <w:rsid w:val="008F3934"/>
    <w:rsid w:val="009048C8"/>
    <w:rsid w:val="009073A3"/>
    <w:rsid w:val="00907D9A"/>
    <w:rsid w:val="009108C3"/>
    <w:rsid w:val="009122BC"/>
    <w:rsid w:val="00912B33"/>
    <w:rsid w:val="00921DB2"/>
    <w:rsid w:val="0093222F"/>
    <w:rsid w:val="0093242F"/>
    <w:rsid w:val="00935588"/>
    <w:rsid w:val="009358B9"/>
    <w:rsid w:val="00947BE1"/>
    <w:rsid w:val="00954242"/>
    <w:rsid w:val="0096473B"/>
    <w:rsid w:val="00965BFD"/>
    <w:rsid w:val="00981503"/>
    <w:rsid w:val="009917D3"/>
    <w:rsid w:val="00997AD5"/>
    <w:rsid w:val="009A663E"/>
    <w:rsid w:val="009A75C4"/>
    <w:rsid w:val="009B316B"/>
    <w:rsid w:val="009B370C"/>
    <w:rsid w:val="009B54D3"/>
    <w:rsid w:val="009E3B01"/>
    <w:rsid w:val="009F3503"/>
    <w:rsid w:val="00A0344A"/>
    <w:rsid w:val="00A1220A"/>
    <w:rsid w:val="00A1479E"/>
    <w:rsid w:val="00A17884"/>
    <w:rsid w:val="00A406A7"/>
    <w:rsid w:val="00A43EB0"/>
    <w:rsid w:val="00A5211B"/>
    <w:rsid w:val="00A64F60"/>
    <w:rsid w:val="00A758A1"/>
    <w:rsid w:val="00A83969"/>
    <w:rsid w:val="00A8614D"/>
    <w:rsid w:val="00A903BF"/>
    <w:rsid w:val="00A93885"/>
    <w:rsid w:val="00A94876"/>
    <w:rsid w:val="00AA0AB6"/>
    <w:rsid w:val="00AA1D87"/>
    <w:rsid w:val="00AE7C47"/>
    <w:rsid w:val="00AF1783"/>
    <w:rsid w:val="00AF6537"/>
    <w:rsid w:val="00B036B9"/>
    <w:rsid w:val="00B067EF"/>
    <w:rsid w:val="00B11A9F"/>
    <w:rsid w:val="00B220AD"/>
    <w:rsid w:val="00B33A31"/>
    <w:rsid w:val="00B33FCE"/>
    <w:rsid w:val="00B36A8D"/>
    <w:rsid w:val="00B51A93"/>
    <w:rsid w:val="00B62F4E"/>
    <w:rsid w:val="00B70C70"/>
    <w:rsid w:val="00B731DE"/>
    <w:rsid w:val="00B766A0"/>
    <w:rsid w:val="00B84E92"/>
    <w:rsid w:val="00B95D1E"/>
    <w:rsid w:val="00B96F2B"/>
    <w:rsid w:val="00BA053D"/>
    <w:rsid w:val="00BB0EF2"/>
    <w:rsid w:val="00BC7D5C"/>
    <w:rsid w:val="00BE4BAF"/>
    <w:rsid w:val="00BE5BDF"/>
    <w:rsid w:val="00BF2CA8"/>
    <w:rsid w:val="00C03FA5"/>
    <w:rsid w:val="00C15360"/>
    <w:rsid w:val="00C2280A"/>
    <w:rsid w:val="00C80610"/>
    <w:rsid w:val="00C87EB4"/>
    <w:rsid w:val="00C957BA"/>
    <w:rsid w:val="00CA1180"/>
    <w:rsid w:val="00CB32F2"/>
    <w:rsid w:val="00CC5662"/>
    <w:rsid w:val="00CD59C2"/>
    <w:rsid w:val="00CE427E"/>
    <w:rsid w:val="00CE72C7"/>
    <w:rsid w:val="00CF4724"/>
    <w:rsid w:val="00D00E27"/>
    <w:rsid w:val="00D067AB"/>
    <w:rsid w:val="00D16B09"/>
    <w:rsid w:val="00D211B0"/>
    <w:rsid w:val="00D24CBC"/>
    <w:rsid w:val="00D24E98"/>
    <w:rsid w:val="00D34FCB"/>
    <w:rsid w:val="00D350D6"/>
    <w:rsid w:val="00D37213"/>
    <w:rsid w:val="00D434FE"/>
    <w:rsid w:val="00D453E8"/>
    <w:rsid w:val="00D503F8"/>
    <w:rsid w:val="00D75CBF"/>
    <w:rsid w:val="00D844B8"/>
    <w:rsid w:val="00D8549F"/>
    <w:rsid w:val="00D932D7"/>
    <w:rsid w:val="00D97E74"/>
    <w:rsid w:val="00DA32CE"/>
    <w:rsid w:val="00DA7144"/>
    <w:rsid w:val="00DB7D61"/>
    <w:rsid w:val="00DD32EB"/>
    <w:rsid w:val="00DD39F3"/>
    <w:rsid w:val="00DD4AD6"/>
    <w:rsid w:val="00E0382C"/>
    <w:rsid w:val="00E041CD"/>
    <w:rsid w:val="00E04BA8"/>
    <w:rsid w:val="00E050D0"/>
    <w:rsid w:val="00E0512E"/>
    <w:rsid w:val="00E22607"/>
    <w:rsid w:val="00E26613"/>
    <w:rsid w:val="00E50E0D"/>
    <w:rsid w:val="00E52CDB"/>
    <w:rsid w:val="00E65389"/>
    <w:rsid w:val="00E868E0"/>
    <w:rsid w:val="00E86A02"/>
    <w:rsid w:val="00E91141"/>
    <w:rsid w:val="00E949C9"/>
    <w:rsid w:val="00E96262"/>
    <w:rsid w:val="00EE3C77"/>
    <w:rsid w:val="00F05AE2"/>
    <w:rsid w:val="00F10348"/>
    <w:rsid w:val="00F13907"/>
    <w:rsid w:val="00F142BE"/>
    <w:rsid w:val="00F2129D"/>
    <w:rsid w:val="00F232D3"/>
    <w:rsid w:val="00F25B43"/>
    <w:rsid w:val="00F31F79"/>
    <w:rsid w:val="00F37B8E"/>
    <w:rsid w:val="00F464AE"/>
    <w:rsid w:val="00F76273"/>
    <w:rsid w:val="00FA6291"/>
    <w:rsid w:val="00FB1416"/>
    <w:rsid w:val="00FB1EFB"/>
    <w:rsid w:val="00FC7C4D"/>
    <w:rsid w:val="00FF3B9C"/>
    <w:rsid w:val="00FF5A0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BEDC8"/>
  <w15:docId w15:val="{A467E8EF-A720-4EAF-8B91-C008ED5B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B32"/>
    <w:pPr>
      <w:tabs>
        <w:tab w:val="center" w:pos="4536"/>
        <w:tab w:val="right" w:pos="9072"/>
      </w:tabs>
    </w:pPr>
  </w:style>
  <w:style w:type="character" w:customStyle="1" w:styleId="En-tteCar">
    <w:name w:val="En-tête Car"/>
    <w:basedOn w:val="Policepardfaut"/>
    <w:link w:val="En-tte"/>
    <w:uiPriority w:val="99"/>
    <w:rsid w:val="007F5B32"/>
  </w:style>
  <w:style w:type="paragraph" w:styleId="Pieddepage">
    <w:name w:val="footer"/>
    <w:basedOn w:val="Normal"/>
    <w:link w:val="PieddepageCar"/>
    <w:uiPriority w:val="99"/>
    <w:unhideWhenUsed/>
    <w:rsid w:val="007F5B32"/>
    <w:pPr>
      <w:tabs>
        <w:tab w:val="center" w:pos="4536"/>
        <w:tab w:val="right" w:pos="9072"/>
      </w:tabs>
    </w:pPr>
  </w:style>
  <w:style w:type="character" w:customStyle="1" w:styleId="PieddepageCar">
    <w:name w:val="Pied de page Car"/>
    <w:basedOn w:val="Policepardfaut"/>
    <w:link w:val="Pieddepage"/>
    <w:uiPriority w:val="99"/>
    <w:rsid w:val="007F5B32"/>
  </w:style>
  <w:style w:type="table" w:styleId="Trameclaire-Accent1">
    <w:name w:val="Light Shading Accent 1"/>
    <w:basedOn w:val="TableauNormal"/>
    <w:uiPriority w:val="60"/>
    <w:rsid w:val="007F5B32"/>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7F5B32"/>
    <w:rPr>
      <w:rFonts w:ascii="Lucida Grande" w:hAnsi="Lucida Grande"/>
      <w:sz w:val="18"/>
      <w:szCs w:val="18"/>
    </w:rPr>
  </w:style>
  <w:style w:type="character" w:customStyle="1" w:styleId="TextedebullesCar">
    <w:name w:val="Texte de bulles Car"/>
    <w:basedOn w:val="Policepardfaut"/>
    <w:link w:val="Textedebulles"/>
    <w:uiPriority w:val="99"/>
    <w:semiHidden/>
    <w:rsid w:val="007F5B32"/>
    <w:rPr>
      <w:rFonts w:ascii="Lucida Grande" w:hAnsi="Lucida Grande"/>
      <w:sz w:val="18"/>
      <w:szCs w:val="18"/>
    </w:rPr>
  </w:style>
  <w:style w:type="paragraph" w:customStyle="1" w:styleId="Date1">
    <w:name w:val="Date1"/>
    <w:basedOn w:val="Normal"/>
    <w:link w:val="dateCar"/>
    <w:autoRedefine/>
    <w:qFormat/>
    <w:rsid w:val="009F3503"/>
    <w:pPr>
      <w:spacing w:line="276" w:lineRule="auto"/>
      <w:ind w:left="1134" w:right="567"/>
      <w:jc w:val="both"/>
    </w:pPr>
    <w:rPr>
      <w:rFonts w:ascii="Arial" w:eastAsia="Times New Roman" w:hAnsi="Arial" w:cs="Tahoma"/>
      <w:noProof/>
      <w:sz w:val="20"/>
      <w:szCs w:val="20"/>
    </w:rPr>
  </w:style>
  <w:style w:type="character" w:customStyle="1" w:styleId="dateCar">
    <w:name w:val="date Car"/>
    <w:basedOn w:val="Policepardfaut"/>
    <w:link w:val="Date1"/>
    <w:rsid w:val="009F3503"/>
    <w:rPr>
      <w:rFonts w:ascii="Arial" w:eastAsia="Times New Roman" w:hAnsi="Arial" w:cs="Tahoma"/>
      <w:noProof/>
      <w:sz w:val="20"/>
      <w:szCs w:val="20"/>
    </w:rPr>
  </w:style>
  <w:style w:type="character" w:styleId="Lienhypertexte">
    <w:name w:val="Hyperlink"/>
    <w:basedOn w:val="Policepardfaut"/>
    <w:uiPriority w:val="99"/>
    <w:unhideWhenUsed/>
    <w:rsid w:val="00E04BA8"/>
    <w:rPr>
      <w:color w:val="0000FF" w:themeColor="hyperlink"/>
      <w:u w:val="single"/>
    </w:rPr>
  </w:style>
  <w:style w:type="table" w:styleId="Grilledutableau">
    <w:name w:val="Table Grid"/>
    <w:basedOn w:val="TableauNormal"/>
    <w:uiPriority w:val="59"/>
    <w:rsid w:val="001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B1416"/>
    <w:rPr>
      <w:sz w:val="16"/>
      <w:szCs w:val="16"/>
    </w:rPr>
  </w:style>
  <w:style w:type="paragraph" w:styleId="Commentaire">
    <w:name w:val="annotation text"/>
    <w:basedOn w:val="Normal"/>
    <w:link w:val="CommentaireCar"/>
    <w:uiPriority w:val="99"/>
    <w:semiHidden/>
    <w:unhideWhenUsed/>
    <w:rsid w:val="00FB1416"/>
    <w:rPr>
      <w:sz w:val="20"/>
      <w:szCs w:val="20"/>
    </w:rPr>
  </w:style>
  <w:style w:type="character" w:customStyle="1" w:styleId="CommentaireCar">
    <w:name w:val="Commentaire Car"/>
    <w:basedOn w:val="Policepardfaut"/>
    <w:link w:val="Commentaire"/>
    <w:uiPriority w:val="99"/>
    <w:semiHidden/>
    <w:rsid w:val="00FB1416"/>
    <w:rPr>
      <w:sz w:val="20"/>
      <w:szCs w:val="20"/>
    </w:rPr>
  </w:style>
  <w:style w:type="paragraph" w:styleId="Objetducommentaire">
    <w:name w:val="annotation subject"/>
    <w:basedOn w:val="Commentaire"/>
    <w:next w:val="Commentaire"/>
    <w:link w:val="ObjetducommentaireCar"/>
    <w:uiPriority w:val="99"/>
    <w:semiHidden/>
    <w:unhideWhenUsed/>
    <w:rsid w:val="00FB1416"/>
    <w:rPr>
      <w:b/>
      <w:bCs/>
    </w:rPr>
  </w:style>
  <w:style w:type="character" w:customStyle="1" w:styleId="ObjetducommentaireCar">
    <w:name w:val="Objet du commentaire Car"/>
    <w:basedOn w:val="CommentaireCar"/>
    <w:link w:val="Objetducommentaire"/>
    <w:uiPriority w:val="99"/>
    <w:semiHidden/>
    <w:rsid w:val="00FB1416"/>
    <w:rPr>
      <w:b/>
      <w:bCs/>
      <w:sz w:val="20"/>
      <w:szCs w:val="20"/>
    </w:rPr>
  </w:style>
  <w:style w:type="paragraph" w:styleId="Rvision">
    <w:name w:val="Revision"/>
    <w:hidden/>
    <w:uiPriority w:val="99"/>
    <w:semiHidden/>
    <w:rsid w:val="009F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2327">
      <w:bodyDiv w:val="1"/>
      <w:marLeft w:val="0"/>
      <w:marRight w:val="0"/>
      <w:marTop w:val="0"/>
      <w:marBottom w:val="0"/>
      <w:divBdr>
        <w:top w:val="none" w:sz="0" w:space="0" w:color="auto"/>
        <w:left w:val="none" w:sz="0" w:space="0" w:color="auto"/>
        <w:bottom w:val="none" w:sz="0" w:space="0" w:color="auto"/>
        <w:right w:val="none" w:sz="0" w:space="0" w:color="auto"/>
      </w:divBdr>
      <w:divsChild>
        <w:div w:id="29888597">
          <w:marLeft w:val="0"/>
          <w:marRight w:val="0"/>
          <w:marTop w:val="0"/>
          <w:marBottom w:val="0"/>
          <w:divBdr>
            <w:top w:val="none" w:sz="0" w:space="0" w:color="auto"/>
            <w:left w:val="none" w:sz="0" w:space="0" w:color="auto"/>
            <w:bottom w:val="none" w:sz="0" w:space="0" w:color="auto"/>
            <w:right w:val="none" w:sz="0" w:space="0" w:color="auto"/>
          </w:divBdr>
        </w:div>
        <w:div w:id="285089555">
          <w:marLeft w:val="0"/>
          <w:marRight w:val="0"/>
          <w:marTop w:val="0"/>
          <w:marBottom w:val="0"/>
          <w:divBdr>
            <w:top w:val="none" w:sz="0" w:space="0" w:color="auto"/>
            <w:left w:val="none" w:sz="0" w:space="0" w:color="auto"/>
            <w:bottom w:val="none" w:sz="0" w:space="0" w:color="auto"/>
            <w:right w:val="none" w:sz="0" w:space="0" w:color="auto"/>
          </w:divBdr>
          <w:divsChild>
            <w:div w:id="1231695035">
              <w:marLeft w:val="0"/>
              <w:marRight w:val="0"/>
              <w:marTop w:val="0"/>
              <w:marBottom w:val="0"/>
              <w:divBdr>
                <w:top w:val="none" w:sz="0" w:space="0" w:color="auto"/>
                <w:left w:val="none" w:sz="0" w:space="0" w:color="auto"/>
                <w:bottom w:val="none" w:sz="0" w:space="0" w:color="auto"/>
                <w:right w:val="none" w:sz="0" w:space="0" w:color="auto"/>
              </w:divBdr>
            </w:div>
            <w:div w:id="1458839356">
              <w:marLeft w:val="0"/>
              <w:marRight w:val="0"/>
              <w:marTop w:val="75"/>
              <w:marBottom w:val="150"/>
              <w:divBdr>
                <w:top w:val="none" w:sz="0" w:space="0" w:color="auto"/>
                <w:left w:val="none" w:sz="0" w:space="0" w:color="auto"/>
                <w:bottom w:val="none" w:sz="0" w:space="0" w:color="auto"/>
                <w:right w:val="none" w:sz="0" w:space="0" w:color="auto"/>
              </w:divBdr>
            </w:div>
          </w:divsChild>
        </w:div>
        <w:div w:id="638875933">
          <w:marLeft w:val="0"/>
          <w:marRight w:val="0"/>
          <w:marTop w:val="0"/>
          <w:marBottom w:val="450"/>
          <w:divBdr>
            <w:top w:val="none" w:sz="0" w:space="0" w:color="auto"/>
            <w:left w:val="none" w:sz="0" w:space="0" w:color="auto"/>
            <w:bottom w:val="none" w:sz="0" w:space="0" w:color="auto"/>
            <w:right w:val="none" w:sz="0" w:space="0" w:color="auto"/>
          </w:divBdr>
        </w:div>
        <w:div w:id="2015448095">
          <w:marLeft w:val="0"/>
          <w:marRight w:val="0"/>
          <w:marTop w:val="0"/>
          <w:marBottom w:val="0"/>
          <w:divBdr>
            <w:top w:val="none" w:sz="0" w:space="0" w:color="auto"/>
            <w:left w:val="none" w:sz="0" w:space="0" w:color="auto"/>
            <w:bottom w:val="none" w:sz="0" w:space="0" w:color="auto"/>
            <w:right w:val="none" w:sz="0" w:space="0" w:color="auto"/>
          </w:divBdr>
        </w:div>
      </w:divsChild>
    </w:div>
    <w:div w:id="986474956">
      <w:bodyDiv w:val="1"/>
      <w:marLeft w:val="0"/>
      <w:marRight w:val="0"/>
      <w:marTop w:val="0"/>
      <w:marBottom w:val="0"/>
      <w:divBdr>
        <w:top w:val="none" w:sz="0" w:space="0" w:color="auto"/>
        <w:left w:val="none" w:sz="0" w:space="0" w:color="auto"/>
        <w:bottom w:val="none" w:sz="0" w:space="0" w:color="auto"/>
        <w:right w:val="none" w:sz="0" w:space="0" w:color="auto"/>
      </w:divBdr>
      <w:divsChild>
        <w:div w:id="295263780">
          <w:marLeft w:val="-225"/>
          <w:marRight w:val="-225"/>
          <w:marTop w:val="0"/>
          <w:marBottom w:val="0"/>
          <w:divBdr>
            <w:top w:val="none" w:sz="0" w:space="0" w:color="auto"/>
            <w:left w:val="none" w:sz="0" w:space="0" w:color="auto"/>
            <w:bottom w:val="none" w:sz="0" w:space="0" w:color="auto"/>
            <w:right w:val="none" w:sz="0" w:space="0" w:color="auto"/>
          </w:divBdr>
          <w:divsChild>
            <w:div w:id="1678078431">
              <w:marLeft w:val="0"/>
              <w:marRight w:val="0"/>
              <w:marTop w:val="0"/>
              <w:marBottom w:val="0"/>
              <w:divBdr>
                <w:top w:val="none" w:sz="0" w:space="0" w:color="auto"/>
                <w:left w:val="none" w:sz="0" w:space="0" w:color="auto"/>
                <w:bottom w:val="none" w:sz="0" w:space="0" w:color="auto"/>
                <w:right w:val="none" w:sz="0" w:space="0" w:color="auto"/>
              </w:divBdr>
              <w:divsChild>
                <w:div w:id="224292977">
                  <w:marLeft w:val="0"/>
                  <w:marRight w:val="0"/>
                  <w:marTop w:val="525"/>
                  <w:marBottom w:val="0"/>
                  <w:divBdr>
                    <w:top w:val="none" w:sz="0" w:space="0" w:color="auto"/>
                    <w:left w:val="none" w:sz="0" w:space="0" w:color="auto"/>
                    <w:bottom w:val="none" w:sz="0" w:space="0" w:color="auto"/>
                    <w:right w:val="none" w:sz="0" w:space="0" w:color="auto"/>
                  </w:divBdr>
                </w:div>
                <w:div w:id="1105199640">
                  <w:marLeft w:val="0"/>
                  <w:marRight w:val="0"/>
                  <w:marTop w:val="0"/>
                  <w:marBottom w:val="525"/>
                  <w:divBdr>
                    <w:top w:val="none" w:sz="0" w:space="0" w:color="auto"/>
                    <w:left w:val="none" w:sz="0" w:space="0" w:color="auto"/>
                    <w:bottom w:val="none" w:sz="0" w:space="0" w:color="auto"/>
                    <w:right w:val="none" w:sz="0" w:space="0" w:color="auto"/>
                  </w:divBdr>
                  <w:divsChild>
                    <w:div w:id="969896382">
                      <w:marLeft w:val="0"/>
                      <w:marRight w:val="0"/>
                      <w:marTop w:val="0"/>
                      <w:marBottom w:val="0"/>
                      <w:divBdr>
                        <w:top w:val="none" w:sz="0" w:space="0" w:color="auto"/>
                        <w:left w:val="none" w:sz="0" w:space="0" w:color="auto"/>
                        <w:bottom w:val="none" w:sz="0" w:space="0" w:color="auto"/>
                        <w:right w:val="none" w:sz="0" w:space="0" w:color="auto"/>
                      </w:divBdr>
                      <w:divsChild>
                        <w:div w:id="470367548">
                          <w:marLeft w:val="0"/>
                          <w:marRight w:val="0"/>
                          <w:marTop w:val="0"/>
                          <w:marBottom w:val="300"/>
                          <w:divBdr>
                            <w:top w:val="none" w:sz="0" w:space="0" w:color="auto"/>
                            <w:left w:val="none" w:sz="0" w:space="0" w:color="auto"/>
                            <w:bottom w:val="none" w:sz="0" w:space="0" w:color="auto"/>
                            <w:right w:val="none" w:sz="0" w:space="0" w:color="auto"/>
                          </w:divBdr>
                        </w:div>
                        <w:div w:id="786122018">
                          <w:marLeft w:val="0"/>
                          <w:marRight w:val="0"/>
                          <w:marTop w:val="0"/>
                          <w:marBottom w:val="0"/>
                          <w:divBdr>
                            <w:top w:val="none" w:sz="0" w:space="0" w:color="auto"/>
                            <w:left w:val="none" w:sz="0" w:space="0" w:color="auto"/>
                            <w:bottom w:val="none" w:sz="0" w:space="0" w:color="auto"/>
                            <w:right w:val="none" w:sz="0" w:space="0" w:color="auto"/>
                          </w:divBdr>
                        </w:div>
                      </w:divsChild>
                    </w:div>
                    <w:div w:id="2077391564">
                      <w:marLeft w:val="0"/>
                      <w:marRight w:val="0"/>
                      <w:marTop w:val="0"/>
                      <w:marBottom w:val="0"/>
                      <w:divBdr>
                        <w:top w:val="none" w:sz="0" w:space="0" w:color="auto"/>
                        <w:left w:val="none" w:sz="0" w:space="0" w:color="auto"/>
                        <w:bottom w:val="none" w:sz="0" w:space="0" w:color="auto"/>
                        <w:right w:val="none" w:sz="0" w:space="0" w:color="auto"/>
                      </w:divBdr>
                    </w:div>
                  </w:divsChild>
                </w:div>
                <w:div w:id="1362590489">
                  <w:marLeft w:val="0"/>
                  <w:marRight w:val="0"/>
                  <w:marTop w:val="0"/>
                  <w:marBottom w:val="0"/>
                  <w:divBdr>
                    <w:top w:val="none" w:sz="0" w:space="0" w:color="auto"/>
                    <w:left w:val="none" w:sz="0" w:space="0" w:color="auto"/>
                    <w:bottom w:val="none" w:sz="0" w:space="0" w:color="auto"/>
                    <w:right w:val="none" w:sz="0" w:space="0" w:color="auto"/>
                  </w:divBdr>
                </w:div>
                <w:div w:id="1951619661">
                  <w:marLeft w:val="0"/>
                  <w:marRight w:val="0"/>
                  <w:marTop w:val="525"/>
                  <w:marBottom w:val="0"/>
                  <w:divBdr>
                    <w:top w:val="none" w:sz="0" w:space="0" w:color="auto"/>
                    <w:left w:val="none" w:sz="0" w:space="0" w:color="auto"/>
                    <w:bottom w:val="none" w:sz="0" w:space="0" w:color="auto"/>
                    <w:right w:val="none" w:sz="0" w:space="0" w:color="auto"/>
                  </w:divBdr>
                  <w:divsChild>
                    <w:div w:id="333651646">
                      <w:marLeft w:val="0"/>
                      <w:marRight w:val="0"/>
                      <w:marTop w:val="0"/>
                      <w:marBottom w:val="0"/>
                      <w:divBdr>
                        <w:top w:val="none" w:sz="0" w:space="0" w:color="auto"/>
                        <w:left w:val="none" w:sz="0" w:space="0" w:color="auto"/>
                        <w:bottom w:val="none" w:sz="0" w:space="0" w:color="auto"/>
                        <w:right w:val="none" w:sz="0" w:space="0" w:color="auto"/>
                      </w:divBdr>
                      <w:divsChild>
                        <w:div w:id="706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8138">
          <w:marLeft w:val="-225"/>
          <w:marRight w:val="-225"/>
          <w:marTop w:val="0"/>
          <w:marBottom w:val="0"/>
          <w:divBdr>
            <w:top w:val="none" w:sz="0" w:space="0" w:color="auto"/>
            <w:left w:val="none" w:sz="0" w:space="0" w:color="auto"/>
            <w:bottom w:val="none" w:sz="0" w:space="0" w:color="auto"/>
            <w:right w:val="none" w:sz="0" w:space="0" w:color="auto"/>
          </w:divBdr>
          <w:divsChild>
            <w:div w:id="1380469429">
              <w:marLeft w:val="0"/>
              <w:marRight w:val="0"/>
              <w:marTop w:val="0"/>
              <w:marBottom w:val="0"/>
              <w:divBdr>
                <w:top w:val="none" w:sz="0" w:space="0" w:color="auto"/>
                <w:left w:val="none" w:sz="0" w:space="0" w:color="auto"/>
                <w:bottom w:val="none" w:sz="0" w:space="0" w:color="auto"/>
                <w:right w:val="none" w:sz="0" w:space="0" w:color="auto"/>
              </w:divBdr>
              <w:divsChild>
                <w:div w:id="267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2498">
          <w:marLeft w:val="-225"/>
          <w:marRight w:val="-225"/>
          <w:marTop w:val="0"/>
          <w:marBottom w:val="0"/>
          <w:divBdr>
            <w:top w:val="none" w:sz="0" w:space="0" w:color="auto"/>
            <w:left w:val="none" w:sz="0" w:space="0" w:color="auto"/>
            <w:bottom w:val="none" w:sz="0" w:space="0" w:color="auto"/>
            <w:right w:val="none" w:sz="0" w:space="0" w:color="auto"/>
          </w:divBdr>
          <w:divsChild>
            <w:div w:id="256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6842">
      <w:bodyDiv w:val="1"/>
      <w:marLeft w:val="0"/>
      <w:marRight w:val="0"/>
      <w:marTop w:val="0"/>
      <w:marBottom w:val="0"/>
      <w:divBdr>
        <w:top w:val="none" w:sz="0" w:space="0" w:color="auto"/>
        <w:left w:val="none" w:sz="0" w:space="0" w:color="auto"/>
        <w:bottom w:val="none" w:sz="0" w:space="0" w:color="auto"/>
        <w:right w:val="none" w:sz="0" w:space="0" w:color="auto"/>
      </w:divBdr>
      <w:divsChild>
        <w:div w:id="217471802">
          <w:marLeft w:val="0"/>
          <w:marRight w:val="0"/>
          <w:marTop w:val="0"/>
          <w:marBottom w:val="0"/>
          <w:divBdr>
            <w:top w:val="none" w:sz="0" w:space="0" w:color="auto"/>
            <w:left w:val="none" w:sz="0" w:space="0" w:color="auto"/>
            <w:bottom w:val="none" w:sz="0" w:space="0" w:color="auto"/>
            <w:right w:val="none" w:sz="0" w:space="0" w:color="auto"/>
          </w:divBdr>
          <w:divsChild>
            <w:div w:id="1322848446">
              <w:marLeft w:val="0"/>
              <w:marRight w:val="0"/>
              <w:marTop w:val="75"/>
              <w:marBottom w:val="150"/>
              <w:divBdr>
                <w:top w:val="none" w:sz="0" w:space="0" w:color="auto"/>
                <w:left w:val="none" w:sz="0" w:space="0" w:color="auto"/>
                <w:bottom w:val="none" w:sz="0" w:space="0" w:color="auto"/>
                <w:right w:val="none" w:sz="0" w:space="0" w:color="auto"/>
              </w:divBdr>
            </w:div>
            <w:div w:id="1476750888">
              <w:marLeft w:val="0"/>
              <w:marRight w:val="0"/>
              <w:marTop w:val="0"/>
              <w:marBottom w:val="0"/>
              <w:divBdr>
                <w:top w:val="none" w:sz="0" w:space="0" w:color="auto"/>
                <w:left w:val="none" w:sz="0" w:space="0" w:color="auto"/>
                <w:bottom w:val="none" w:sz="0" w:space="0" w:color="auto"/>
                <w:right w:val="none" w:sz="0" w:space="0" w:color="auto"/>
              </w:divBdr>
            </w:div>
          </w:divsChild>
        </w:div>
        <w:div w:id="457378069">
          <w:marLeft w:val="0"/>
          <w:marRight w:val="0"/>
          <w:marTop w:val="0"/>
          <w:marBottom w:val="0"/>
          <w:divBdr>
            <w:top w:val="none" w:sz="0" w:space="0" w:color="auto"/>
            <w:left w:val="none" w:sz="0" w:space="0" w:color="auto"/>
            <w:bottom w:val="none" w:sz="0" w:space="0" w:color="auto"/>
            <w:right w:val="none" w:sz="0" w:space="0" w:color="auto"/>
          </w:divBdr>
        </w:div>
        <w:div w:id="1278374261">
          <w:marLeft w:val="0"/>
          <w:marRight w:val="0"/>
          <w:marTop w:val="0"/>
          <w:marBottom w:val="0"/>
          <w:divBdr>
            <w:top w:val="none" w:sz="0" w:space="0" w:color="auto"/>
            <w:left w:val="none" w:sz="0" w:space="0" w:color="auto"/>
            <w:bottom w:val="none" w:sz="0" w:space="0" w:color="auto"/>
            <w:right w:val="none" w:sz="0" w:space="0" w:color="auto"/>
          </w:divBdr>
        </w:div>
        <w:div w:id="173743796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0C63-397E-4988-84CA-801BACE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2668</Words>
  <Characters>14675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André</dc:creator>
  <cp:keywords/>
  <dc:description/>
  <cp:lastModifiedBy>ALAIN ANDRE</cp:lastModifiedBy>
  <cp:revision>2</cp:revision>
  <cp:lastPrinted>2018-12-16T17:26:00Z</cp:lastPrinted>
  <dcterms:created xsi:type="dcterms:W3CDTF">2018-12-20T09:52:00Z</dcterms:created>
  <dcterms:modified xsi:type="dcterms:W3CDTF">2018-12-20T09:52:00Z</dcterms:modified>
</cp:coreProperties>
</file>